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fontTable.xml" ContentType="application/vnd.openxmlformats-officedocument.wordprocessingml.fontTable+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7178" w14:textId="77777777" w:rsidR="00585FE3" w:rsidRPr="00D2545F" w:rsidRDefault="00585FE3" w:rsidP="00585FE3">
      <w:pPr>
        <w:spacing w:after="60"/>
        <w:jc w:val="both"/>
        <w:rPr>
          <w:rFonts w:eastAsia="Times New Roman" w:cstheme="minorHAnsi"/>
          <w:sz w:val="24"/>
          <w:szCs w:val="24"/>
        </w:rPr>
      </w:pPr>
      <w:r w:rsidRPr="00585FE3">
        <w:rPr>
          <w:rFonts w:ascii="Calibri" w:eastAsia="Times New Roman" w:hAnsi="Calibri" w:cs="Calibri"/>
          <w:b/>
          <w:bCs/>
          <w:noProof/>
          <w:color w:val="000000"/>
          <w:sz w:val="40"/>
          <w:szCs w:val="40"/>
          <w:bdr w:val="none" w:sz="0" w:space="0" w:color="auto" w:frame="1"/>
          <w:lang w:val="fr-FR" w:eastAsia="fr-FR"/>
        </w:rPr>
        <w:drawing>
          <wp:inline distT="0" distB="0" distL="0" distR="0" wp14:anchorId="6DA008E2" wp14:editId="2F81C1CF">
            <wp:extent cx="187325" cy="18732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585FE3">
        <w:rPr>
          <w:rFonts w:ascii="Calibri" w:eastAsia="Times New Roman" w:hAnsi="Calibri" w:cs="Calibri"/>
          <w:b/>
          <w:bCs/>
          <w:color w:val="000000"/>
          <w:sz w:val="40"/>
          <w:szCs w:val="40"/>
        </w:rPr>
        <w:t xml:space="preserve"> </w:t>
      </w:r>
      <w:r w:rsidRPr="00D2545F">
        <w:rPr>
          <w:rFonts w:eastAsia="Times New Roman" w:cstheme="minorHAnsi"/>
          <w:b/>
          <w:bCs/>
          <w:color w:val="000000"/>
          <w:sz w:val="40"/>
          <w:szCs w:val="40"/>
        </w:rPr>
        <w:t>EBRAINS Data Descriptor</w:t>
      </w:r>
    </w:p>
    <w:p w14:paraId="76DC0BB7" w14:textId="77777777" w:rsidR="00585FE3" w:rsidRPr="00D2545F" w:rsidRDefault="00585FE3" w:rsidP="00585FE3">
      <w:pPr>
        <w:spacing w:after="40"/>
        <w:jc w:val="both"/>
        <w:rPr>
          <w:rFonts w:eastAsia="Times New Roman" w:cstheme="minorHAnsi"/>
          <w:sz w:val="24"/>
          <w:szCs w:val="24"/>
        </w:rPr>
      </w:pPr>
      <w:r w:rsidRPr="00D2545F">
        <w:rPr>
          <w:rFonts w:eastAsia="Times New Roman" w:cstheme="minorHAnsi"/>
          <w:i/>
          <w:iCs/>
          <w:color w:val="38761D"/>
          <w:sz w:val="20"/>
          <w:szCs w:val="20"/>
        </w:rPr>
        <w:t>The HBP Data Descriptor follows closely the data descriptor template of the journal Scientific Data (ISSN 2052-4463, https://www.nature.com/sdata/). Note that sections marked with an asterisk are obligatory.</w:t>
      </w:r>
    </w:p>
    <w:p w14:paraId="72BA66E2"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TITLE*</w:t>
      </w:r>
    </w:p>
    <w:p w14:paraId="7409F298" w14:textId="77777777" w:rsidR="00585FE3" w:rsidRPr="00D2545F" w:rsidRDefault="00585FE3" w:rsidP="00585FE3">
      <w:pPr>
        <w:spacing w:after="40"/>
        <w:jc w:val="both"/>
        <w:rPr>
          <w:rFonts w:eastAsia="Times New Roman" w:cstheme="minorHAnsi"/>
          <w:sz w:val="24"/>
          <w:szCs w:val="24"/>
        </w:rPr>
      </w:pPr>
      <w:r w:rsidRPr="00D2545F">
        <w:rPr>
          <w:rFonts w:eastAsia="Times New Roman" w:cstheme="minorHAnsi"/>
          <w:i/>
          <w:iCs/>
          <w:color w:val="38761D"/>
          <w:sz w:val="20"/>
          <w:szCs w:val="20"/>
        </w:rPr>
        <w:t xml:space="preserve">110 </w:t>
      </w:r>
      <w:proofErr w:type="gramStart"/>
      <w:r w:rsidRPr="00D2545F">
        <w:rPr>
          <w:rFonts w:eastAsia="Times New Roman" w:cstheme="minorHAnsi"/>
          <w:i/>
          <w:iCs/>
          <w:color w:val="38761D"/>
          <w:sz w:val="20"/>
          <w:szCs w:val="20"/>
        </w:rPr>
        <w:t>characters</w:t>
      </w:r>
      <w:proofErr w:type="gramEnd"/>
      <w:r w:rsidRPr="00D2545F">
        <w:rPr>
          <w:rFonts w:eastAsia="Times New Roman" w:cstheme="minorHAnsi"/>
          <w:i/>
          <w:iCs/>
          <w:color w:val="38761D"/>
          <w:sz w:val="20"/>
          <w:szCs w:val="20"/>
        </w:rPr>
        <w:t xml:space="preserve"> maximum, including spaces, no colons and parentheses</w:t>
      </w:r>
    </w:p>
    <w:p w14:paraId="3CACB338"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The title should be descriptive for the presented data. The use of acronyms and abbreviations should be avoided where possible.</w:t>
      </w:r>
    </w:p>
    <w:p w14:paraId="730F6B91" w14:textId="77777777" w:rsidR="00537349" w:rsidRPr="00D2545F" w:rsidRDefault="00537349" w:rsidP="00537349">
      <w:pPr>
        <w:spacing w:after="100"/>
        <w:jc w:val="both"/>
        <w:rPr>
          <w:rFonts w:eastAsia="Times New Roman" w:cstheme="minorHAnsi"/>
          <w:color w:val="000000"/>
          <w:sz w:val="26"/>
          <w:szCs w:val="26"/>
        </w:rPr>
      </w:pPr>
      <w:proofErr w:type="spellStart"/>
      <w:r w:rsidRPr="00D2545F">
        <w:rPr>
          <w:rFonts w:eastAsia="Times New Roman" w:cstheme="minorHAnsi"/>
          <w:sz w:val="26"/>
          <w:szCs w:val="26"/>
        </w:rPr>
        <w:t>Intracerebroventricular</w:t>
      </w:r>
      <w:proofErr w:type="spellEnd"/>
      <w:r w:rsidRPr="00D2545F">
        <w:rPr>
          <w:rFonts w:eastAsia="Times New Roman" w:cstheme="minorHAnsi"/>
          <w:sz w:val="26"/>
          <w:szCs w:val="26"/>
        </w:rPr>
        <w:t xml:space="preserve"> and intrathecal </w:t>
      </w:r>
      <w:r w:rsidRPr="00D2545F">
        <w:rPr>
          <w:rFonts w:eastAsia="Times New Roman" w:cstheme="minorHAnsi"/>
          <w:sz w:val="26"/>
          <w:szCs w:val="26"/>
          <w:lang w:val="en-GB"/>
        </w:rPr>
        <w:t xml:space="preserve">delivery routes for ASOs targeting </w:t>
      </w:r>
      <w:proofErr w:type="spellStart"/>
      <w:r w:rsidRPr="00D2545F">
        <w:rPr>
          <w:rFonts w:eastAsia="Times New Roman" w:cstheme="minorHAnsi"/>
          <w:i/>
          <w:iCs/>
          <w:sz w:val="26"/>
          <w:szCs w:val="26"/>
          <w:lang w:val="en-GB"/>
        </w:rPr>
        <w:t>Dmd</w:t>
      </w:r>
      <w:proofErr w:type="spellEnd"/>
      <w:r w:rsidRPr="00D2545F">
        <w:rPr>
          <w:rFonts w:eastAsia="Times New Roman" w:cstheme="minorHAnsi"/>
          <w:i/>
          <w:iCs/>
          <w:sz w:val="26"/>
          <w:szCs w:val="26"/>
          <w:lang w:val="en-GB"/>
        </w:rPr>
        <w:t xml:space="preserve"> </w:t>
      </w:r>
      <w:r w:rsidRPr="00D2545F">
        <w:rPr>
          <w:rFonts w:eastAsia="Times New Roman" w:cstheme="minorHAnsi"/>
          <w:sz w:val="26"/>
          <w:szCs w:val="26"/>
          <w:lang w:val="en-GB"/>
        </w:rPr>
        <w:t xml:space="preserve">exon 51 in </w:t>
      </w:r>
      <w:r w:rsidRPr="00D2545F">
        <w:rPr>
          <w:rFonts w:eastAsia="Times New Roman" w:cstheme="minorHAnsi"/>
          <w:i/>
          <w:color w:val="000000"/>
          <w:sz w:val="26"/>
          <w:szCs w:val="26"/>
        </w:rPr>
        <w:t>mdx52</w:t>
      </w:r>
      <w:r w:rsidRPr="00D2545F">
        <w:rPr>
          <w:rFonts w:eastAsia="Times New Roman" w:cstheme="minorHAnsi"/>
          <w:color w:val="000000"/>
          <w:sz w:val="26"/>
          <w:szCs w:val="26"/>
        </w:rPr>
        <w:t xml:space="preserve"> mice </w:t>
      </w:r>
    </w:p>
    <w:p w14:paraId="0E09A910" w14:textId="77777777" w:rsidR="00FA5243" w:rsidRPr="00D2545F" w:rsidRDefault="00FA5243" w:rsidP="00FA5243">
      <w:pPr>
        <w:spacing w:after="100"/>
        <w:jc w:val="both"/>
        <w:rPr>
          <w:rFonts w:eastAsia="Times New Roman" w:cstheme="minorHAnsi"/>
          <w:color w:val="000000"/>
          <w:sz w:val="26"/>
          <w:szCs w:val="26"/>
        </w:rPr>
      </w:pPr>
    </w:p>
    <w:p w14:paraId="4A9963EB" w14:textId="69A0246F" w:rsidR="00585FE3" w:rsidRPr="00D2545F" w:rsidRDefault="00585FE3" w:rsidP="00FA5243">
      <w:pPr>
        <w:spacing w:after="100"/>
        <w:jc w:val="both"/>
        <w:rPr>
          <w:rFonts w:eastAsia="Times New Roman" w:cstheme="minorHAnsi"/>
          <w:b/>
          <w:bCs/>
          <w:sz w:val="36"/>
          <w:szCs w:val="36"/>
        </w:rPr>
      </w:pPr>
      <w:r w:rsidRPr="00D2545F">
        <w:rPr>
          <w:rFonts w:eastAsia="Times New Roman" w:cstheme="minorHAnsi"/>
          <w:b/>
          <w:bCs/>
          <w:color w:val="000000"/>
          <w:sz w:val="28"/>
          <w:szCs w:val="28"/>
        </w:rPr>
        <w:t>AUTHORS*</w:t>
      </w:r>
    </w:p>
    <w:p w14:paraId="799B0177" w14:textId="77777777" w:rsidR="00585FE3" w:rsidRPr="00D2545F" w:rsidRDefault="00585FE3" w:rsidP="00585FE3">
      <w:pPr>
        <w:spacing w:after="40"/>
        <w:jc w:val="both"/>
        <w:rPr>
          <w:rFonts w:eastAsia="Times New Roman" w:cstheme="minorHAnsi"/>
          <w:i/>
          <w:iCs/>
          <w:color w:val="38761D"/>
          <w:sz w:val="12"/>
          <w:szCs w:val="12"/>
          <w:vertAlign w:val="superscript"/>
        </w:rPr>
      </w:pPr>
      <w:r w:rsidRPr="00D2545F">
        <w:rPr>
          <w:rFonts w:eastAsia="Times New Roman" w:cstheme="minorHAnsi"/>
          <w:i/>
          <w:iCs/>
          <w:color w:val="38761D"/>
          <w:sz w:val="20"/>
          <w:szCs w:val="20"/>
        </w:rPr>
        <w:t xml:space="preserve">Forename Surname </w:t>
      </w:r>
      <w:r w:rsidRPr="00D2545F">
        <w:rPr>
          <w:rFonts w:eastAsia="Times New Roman" w:cstheme="minorHAnsi"/>
          <w:i/>
          <w:iCs/>
          <w:color w:val="38761D"/>
          <w:sz w:val="12"/>
          <w:szCs w:val="12"/>
          <w:vertAlign w:val="superscript"/>
        </w:rPr>
        <w:t>1</w:t>
      </w:r>
      <w:r w:rsidRPr="00D2545F">
        <w:rPr>
          <w:rFonts w:eastAsia="Times New Roman" w:cstheme="minorHAnsi"/>
          <w:i/>
          <w:iCs/>
          <w:color w:val="38761D"/>
          <w:sz w:val="20"/>
          <w:szCs w:val="20"/>
        </w:rPr>
        <w:t xml:space="preserve">, Forename Surname </w:t>
      </w:r>
      <w:r w:rsidRPr="00D2545F">
        <w:rPr>
          <w:rFonts w:eastAsia="Times New Roman" w:cstheme="minorHAnsi"/>
          <w:i/>
          <w:iCs/>
          <w:color w:val="38761D"/>
          <w:sz w:val="12"/>
          <w:szCs w:val="12"/>
          <w:vertAlign w:val="superscript"/>
        </w:rPr>
        <w:t>1</w:t>
      </w:r>
      <w:r w:rsidRPr="00D2545F">
        <w:rPr>
          <w:rFonts w:eastAsia="Times New Roman" w:cstheme="minorHAnsi"/>
          <w:i/>
          <w:iCs/>
          <w:color w:val="38761D"/>
          <w:sz w:val="20"/>
          <w:szCs w:val="20"/>
        </w:rPr>
        <w:t xml:space="preserve">, and Forename Surname </w:t>
      </w:r>
      <w:r w:rsidRPr="00D2545F">
        <w:rPr>
          <w:rFonts w:eastAsia="Times New Roman" w:cstheme="minorHAnsi"/>
          <w:i/>
          <w:iCs/>
          <w:color w:val="38761D"/>
          <w:sz w:val="12"/>
          <w:szCs w:val="12"/>
          <w:vertAlign w:val="superscript"/>
        </w:rPr>
        <w:t>2</w:t>
      </w:r>
    </w:p>
    <w:p w14:paraId="1126A95B" w14:textId="2A954C25" w:rsidR="00537349" w:rsidRPr="00D2545F" w:rsidRDefault="00537349" w:rsidP="00097886">
      <w:pPr>
        <w:pStyle w:val="MDPI13authornames"/>
        <w:rPr>
          <w:rFonts w:asciiTheme="minorHAnsi" w:hAnsiTheme="minorHAnsi" w:cstheme="minorHAnsi"/>
          <w:b w:val="0"/>
          <w:bCs/>
          <w:vertAlign w:val="superscript"/>
          <w:lang w:val="en-GB"/>
        </w:rPr>
      </w:pPr>
      <w:r w:rsidRPr="00D2545F">
        <w:rPr>
          <w:rFonts w:asciiTheme="minorHAnsi" w:hAnsiTheme="minorHAnsi" w:cstheme="minorHAnsi"/>
          <w:b w:val="0"/>
          <w:bCs/>
          <w:lang w:val="en-GB"/>
        </w:rPr>
        <w:t>Amel Saoudi</w:t>
      </w:r>
      <w:r w:rsidRPr="00D2545F">
        <w:rPr>
          <w:rFonts w:asciiTheme="minorHAnsi" w:hAnsiTheme="minorHAnsi" w:cstheme="minorHAnsi"/>
          <w:b w:val="0"/>
          <w:bCs/>
          <w:vertAlign w:val="superscript"/>
          <w:lang w:val="en-GB"/>
        </w:rPr>
        <w:t>1,2</w:t>
      </w:r>
      <w:r w:rsidRPr="00D2545F">
        <w:rPr>
          <w:rFonts w:asciiTheme="minorHAnsi" w:hAnsiTheme="minorHAnsi" w:cstheme="minorHAnsi"/>
          <w:b w:val="0"/>
          <w:bCs/>
          <w:lang w:val="en-GB"/>
        </w:rPr>
        <w:t>, Claire Fergus</w:t>
      </w:r>
      <w:r w:rsidRPr="00D2545F">
        <w:rPr>
          <w:rFonts w:asciiTheme="minorHAnsi" w:hAnsiTheme="minorHAnsi" w:cstheme="minorHAnsi"/>
          <w:b w:val="0"/>
          <w:bCs/>
          <w:vertAlign w:val="superscript"/>
          <w:lang w:val="en-GB"/>
        </w:rPr>
        <w:t>3</w:t>
      </w:r>
      <w:r w:rsidRPr="00D2545F">
        <w:rPr>
          <w:rFonts w:asciiTheme="minorHAnsi" w:hAnsiTheme="minorHAnsi" w:cstheme="minorHAnsi"/>
          <w:b w:val="0"/>
          <w:bCs/>
          <w:lang w:val="en-GB"/>
        </w:rPr>
        <w:t>, Talia Gileadi</w:t>
      </w:r>
      <w:r w:rsidRPr="00D2545F">
        <w:rPr>
          <w:rFonts w:asciiTheme="minorHAnsi" w:hAnsiTheme="minorHAnsi" w:cstheme="minorHAnsi"/>
          <w:b w:val="0"/>
          <w:bCs/>
          <w:vertAlign w:val="superscript"/>
          <w:lang w:val="en-GB"/>
        </w:rPr>
        <w:t>4</w:t>
      </w:r>
      <w:r w:rsidRPr="00D2545F">
        <w:rPr>
          <w:rFonts w:asciiTheme="minorHAnsi" w:hAnsiTheme="minorHAnsi" w:cstheme="minorHAnsi"/>
          <w:b w:val="0"/>
          <w:bCs/>
          <w:lang w:val="en-GB"/>
        </w:rPr>
        <w:t>, Federica Montanaro</w:t>
      </w:r>
      <w:r w:rsidRPr="00D2545F">
        <w:rPr>
          <w:rFonts w:asciiTheme="minorHAnsi" w:hAnsiTheme="minorHAnsi" w:cstheme="minorHAnsi"/>
          <w:b w:val="0"/>
          <w:bCs/>
          <w:vertAlign w:val="superscript"/>
          <w:lang w:val="en-GB"/>
        </w:rPr>
        <w:t>4</w:t>
      </w:r>
      <w:r w:rsidRPr="00D2545F">
        <w:rPr>
          <w:rFonts w:asciiTheme="minorHAnsi" w:hAnsiTheme="minorHAnsi" w:cstheme="minorHAnsi"/>
          <w:b w:val="0"/>
          <w:bCs/>
          <w:lang w:val="en-GB"/>
        </w:rPr>
        <w:t>, Jennifer Morgan</w:t>
      </w:r>
      <w:r w:rsidRPr="00D2545F">
        <w:rPr>
          <w:rFonts w:asciiTheme="minorHAnsi" w:hAnsiTheme="minorHAnsi" w:cstheme="minorHAnsi"/>
          <w:b w:val="0"/>
          <w:bCs/>
          <w:vertAlign w:val="superscript"/>
          <w:lang w:val="en-GB"/>
        </w:rPr>
        <w:t>4</w:t>
      </w:r>
      <w:r w:rsidRPr="00D2545F">
        <w:rPr>
          <w:rFonts w:asciiTheme="minorHAnsi" w:hAnsiTheme="minorHAnsi" w:cstheme="minorHAnsi"/>
          <w:b w:val="0"/>
          <w:bCs/>
          <w:lang w:val="en-GB"/>
        </w:rPr>
        <w:t>, Vincent P. Kelly</w:t>
      </w:r>
      <w:r w:rsidRPr="00D2545F">
        <w:rPr>
          <w:rFonts w:asciiTheme="minorHAnsi" w:hAnsiTheme="minorHAnsi" w:cstheme="minorHAnsi"/>
          <w:b w:val="0"/>
          <w:bCs/>
          <w:vertAlign w:val="superscript"/>
          <w:lang w:val="en-GB"/>
        </w:rPr>
        <w:t>3</w:t>
      </w:r>
      <w:r w:rsidRPr="00D2545F">
        <w:rPr>
          <w:rFonts w:asciiTheme="minorHAnsi" w:hAnsiTheme="minorHAnsi" w:cstheme="minorHAnsi"/>
          <w:b w:val="0"/>
          <w:bCs/>
          <w:lang w:val="en-GB"/>
        </w:rPr>
        <w:t>, Thomas Tensorer</w:t>
      </w:r>
      <w:r w:rsidRPr="00D2545F">
        <w:rPr>
          <w:rFonts w:asciiTheme="minorHAnsi" w:hAnsiTheme="minorHAnsi" w:cstheme="minorHAnsi"/>
          <w:b w:val="0"/>
          <w:bCs/>
          <w:vertAlign w:val="superscript"/>
          <w:lang w:val="en-GB"/>
        </w:rPr>
        <w:t>5</w:t>
      </w:r>
      <w:r w:rsidRPr="00D2545F">
        <w:rPr>
          <w:rFonts w:asciiTheme="minorHAnsi" w:hAnsiTheme="minorHAnsi" w:cstheme="minorHAnsi"/>
          <w:b w:val="0"/>
          <w:bCs/>
          <w:lang w:val="en-GB"/>
        </w:rPr>
        <w:t>, Luis Garcia</w:t>
      </w:r>
      <w:r w:rsidRPr="00D2545F">
        <w:rPr>
          <w:rFonts w:asciiTheme="minorHAnsi" w:hAnsiTheme="minorHAnsi" w:cstheme="minorHAnsi"/>
          <w:b w:val="0"/>
          <w:bCs/>
          <w:vertAlign w:val="superscript"/>
          <w:lang w:val="en-GB"/>
        </w:rPr>
        <w:t>1</w:t>
      </w:r>
      <w:r w:rsidRPr="00D2545F">
        <w:rPr>
          <w:rFonts w:asciiTheme="minorHAnsi" w:hAnsiTheme="minorHAnsi" w:cstheme="minorHAnsi"/>
          <w:b w:val="0"/>
          <w:bCs/>
          <w:lang w:val="en-GB"/>
        </w:rPr>
        <w:t>, Cyrille Vaillend</w:t>
      </w:r>
      <w:r w:rsidRPr="00D2545F">
        <w:rPr>
          <w:rFonts w:asciiTheme="minorHAnsi" w:hAnsiTheme="minorHAnsi" w:cstheme="minorHAnsi"/>
          <w:b w:val="0"/>
          <w:bCs/>
          <w:vertAlign w:val="superscript"/>
          <w:lang w:val="en-GB"/>
        </w:rPr>
        <w:t>2</w:t>
      </w:r>
      <w:r w:rsidRPr="00D2545F">
        <w:rPr>
          <w:rFonts w:asciiTheme="minorHAnsi" w:hAnsiTheme="minorHAnsi" w:cstheme="minorHAnsi"/>
          <w:b w:val="0"/>
          <w:bCs/>
          <w:lang w:val="en-GB"/>
        </w:rPr>
        <w:t>, Francesco Muntoni</w:t>
      </w:r>
      <w:r w:rsidRPr="00D2545F">
        <w:rPr>
          <w:rFonts w:asciiTheme="minorHAnsi" w:hAnsiTheme="minorHAnsi" w:cstheme="minorHAnsi"/>
          <w:b w:val="0"/>
          <w:bCs/>
          <w:vertAlign w:val="superscript"/>
          <w:lang w:val="en-GB"/>
        </w:rPr>
        <w:t>4</w:t>
      </w:r>
      <w:r w:rsidRPr="00D2545F">
        <w:rPr>
          <w:rFonts w:asciiTheme="minorHAnsi" w:hAnsiTheme="minorHAnsi" w:cstheme="minorHAnsi"/>
          <w:b w:val="0"/>
          <w:bCs/>
          <w:lang w:val="en-GB"/>
        </w:rPr>
        <w:t xml:space="preserve"> and Aurélie Goyenvalle</w:t>
      </w:r>
      <w:r w:rsidRPr="00D2545F">
        <w:rPr>
          <w:rFonts w:asciiTheme="minorHAnsi" w:hAnsiTheme="minorHAnsi" w:cstheme="minorHAnsi"/>
          <w:b w:val="0"/>
          <w:bCs/>
          <w:vertAlign w:val="superscript"/>
          <w:lang w:val="en-GB"/>
        </w:rPr>
        <w:t>1*</w:t>
      </w:r>
    </w:p>
    <w:p w14:paraId="2F26A31D"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AFFILIATIONS*</w:t>
      </w:r>
    </w:p>
    <w:p w14:paraId="784C6267" w14:textId="77777777" w:rsidR="00585FE3" w:rsidRPr="00D2545F" w:rsidRDefault="00585FE3" w:rsidP="00585FE3">
      <w:pPr>
        <w:jc w:val="both"/>
        <w:rPr>
          <w:rFonts w:eastAsia="Times New Roman" w:cstheme="minorHAnsi"/>
          <w:sz w:val="24"/>
          <w:szCs w:val="24"/>
        </w:rPr>
      </w:pPr>
      <w:r w:rsidRPr="00D2545F">
        <w:rPr>
          <w:rFonts w:eastAsia="Times New Roman" w:cstheme="minorHAnsi"/>
          <w:i/>
          <w:iCs/>
          <w:color w:val="38761D"/>
          <w:sz w:val="20"/>
          <w:szCs w:val="20"/>
        </w:rPr>
        <w:t>1. Institution</w:t>
      </w:r>
    </w:p>
    <w:p w14:paraId="25680593" w14:textId="77777777" w:rsidR="00585FE3" w:rsidRPr="00D2545F" w:rsidRDefault="00585FE3" w:rsidP="00585FE3">
      <w:pPr>
        <w:spacing w:after="40"/>
        <w:jc w:val="both"/>
        <w:rPr>
          <w:rFonts w:eastAsia="Times New Roman" w:cstheme="minorHAnsi"/>
          <w:sz w:val="24"/>
          <w:szCs w:val="24"/>
        </w:rPr>
      </w:pPr>
      <w:r w:rsidRPr="00D2545F">
        <w:rPr>
          <w:rFonts w:eastAsia="Times New Roman" w:cstheme="minorHAnsi"/>
          <w:i/>
          <w:iCs/>
          <w:color w:val="38761D"/>
          <w:sz w:val="20"/>
          <w:szCs w:val="20"/>
        </w:rPr>
        <w:t>2. Institution</w:t>
      </w:r>
    </w:p>
    <w:p w14:paraId="22AAB17F"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corresponding author(s): Forename Surname (</w:t>
      </w:r>
      <w:proofErr w:type="spellStart"/>
      <w:r w:rsidRPr="00D2545F">
        <w:rPr>
          <w:rFonts w:eastAsia="Times New Roman" w:cstheme="minorHAnsi"/>
          <w:i/>
          <w:iCs/>
          <w:color w:val="38761D"/>
          <w:sz w:val="20"/>
          <w:szCs w:val="20"/>
        </w:rPr>
        <w:t>email@address</w:t>
      </w:r>
      <w:proofErr w:type="spellEnd"/>
      <w:r w:rsidRPr="00D2545F">
        <w:rPr>
          <w:rFonts w:eastAsia="Times New Roman" w:cstheme="minorHAnsi"/>
          <w:i/>
          <w:iCs/>
          <w:color w:val="38761D"/>
          <w:sz w:val="20"/>
          <w:szCs w:val="20"/>
        </w:rPr>
        <w:t>), Forename Surname (</w:t>
      </w:r>
      <w:proofErr w:type="spellStart"/>
      <w:r w:rsidRPr="00D2545F">
        <w:rPr>
          <w:rFonts w:eastAsia="Times New Roman" w:cstheme="minorHAnsi"/>
          <w:i/>
          <w:iCs/>
          <w:color w:val="38761D"/>
          <w:sz w:val="20"/>
          <w:szCs w:val="20"/>
        </w:rPr>
        <w:t>email@address</w:t>
      </w:r>
      <w:proofErr w:type="spellEnd"/>
      <w:r w:rsidRPr="00D2545F">
        <w:rPr>
          <w:rFonts w:eastAsia="Times New Roman" w:cstheme="minorHAnsi"/>
          <w:i/>
          <w:iCs/>
          <w:color w:val="38761D"/>
          <w:sz w:val="20"/>
          <w:szCs w:val="20"/>
        </w:rPr>
        <w:t>)</w:t>
      </w:r>
    </w:p>
    <w:p w14:paraId="0A689F24" w14:textId="77777777" w:rsidR="00537349" w:rsidRPr="00D2545F" w:rsidRDefault="00537349" w:rsidP="00537349">
      <w:pPr>
        <w:pStyle w:val="MDPI16affiliation"/>
        <w:ind w:left="198"/>
        <w:rPr>
          <w:rFonts w:asciiTheme="minorHAnsi" w:hAnsiTheme="minorHAnsi" w:cstheme="minorHAnsi"/>
          <w:sz w:val="18"/>
          <w:szCs w:val="20"/>
          <w:lang w:val="fr-FR"/>
        </w:rPr>
      </w:pPr>
      <w:r w:rsidRPr="00D2545F">
        <w:rPr>
          <w:rFonts w:asciiTheme="minorHAnsi" w:hAnsiTheme="minorHAnsi" w:cstheme="minorHAnsi"/>
          <w:sz w:val="18"/>
          <w:szCs w:val="20"/>
          <w:vertAlign w:val="superscript"/>
          <w:lang w:val="fr-FR"/>
        </w:rPr>
        <w:t>1</w:t>
      </w:r>
      <w:r w:rsidRPr="00D2545F">
        <w:rPr>
          <w:rFonts w:asciiTheme="minorHAnsi" w:hAnsiTheme="minorHAnsi" w:cstheme="minorHAnsi"/>
          <w:sz w:val="18"/>
          <w:szCs w:val="20"/>
          <w:lang w:val="fr-FR"/>
        </w:rPr>
        <w:t>Université Paris-Saclay, UVSQ, Inserm, END-ICAP, 78000 Versailles, France</w:t>
      </w:r>
    </w:p>
    <w:p w14:paraId="6AADE598" w14:textId="77777777" w:rsidR="00537349" w:rsidRPr="00D2545F" w:rsidRDefault="00537349" w:rsidP="00537349">
      <w:pPr>
        <w:pStyle w:val="MDPI16affiliation"/>
        <w:ind w:left="0" w:firstLine="0"/>
        <w:rPr>
          <w:rFonts w:asciiTheme="minorHAnsi" w:hAnsiTheme="minorHAnsi" w:cstheme="minorHAnsi"/>
          <w:sz w:val="18"/>
          <w:szCs w:val="20"/>
          <w:lang w:val="fr-FR"/>
        </w:rPr>
      </w:pPr>
      <w:r w:rsidRPr="00D2545F">
        <w:rPr>
          <w:rFonts w:asciiTheme="minorHAnsi" w:hAnsiTheme="minorHAnsi" w:cstheme="minorHAnsi"/>
          <w:sz w:val="18"/>
          <w:szCs w:val="20"/>
          <w:vertAlign w:val="superscript"/>
          <w:lang w:val="fr-FR"/>
        </w:rPr>
        <w:t>2</w:t>
      </w:r>
      <w:r w:rsidRPr="00D2545F">
        <w:rPr>
          <w:rFonts w:asciiTheme="minorHAnsi" w:hAnsiTheme="minorHAnsi" w:cstheme="minorHAnsi"/>
          <w:sz w:val="18"/>
          <w:szCs w:val="20"/>
          <w:lang w:val="fr-FR"/>
        </w:rPr>
        <w:t xml:space="preserve"> Université Paris-Saclay, CNRS, Institut des Neurosciences Paris-Saclay, 91400, Saclay, France</w:t>
      </w:r>
    </w:p>
    <w:p w14:paraId="2C4DD6EE" w14:textId="77777777" w:rsidR="00537349" w:rsidRPr="00D2545F" w:rsidRDefault="00537349" w:rsidP="00537349">
      <w:pPr>
        <w:pStyle w:val="MDPI16affiliation"/>
        <w:ind w:left="0" w:firstLine="0"/>
        <w:rPr>
          <w:rFonts w:asciiTheme="minorHAnsi" w:hAnsiTheme="minorHAnsi" w:cstheme="minorHAnsi"/>
          <w:sz w:val="18"/>
          <w:szCs w:val="20"/>
          <w:lang w:val="en-GB"/>
        </w:rPr>
      </w:pPr>
      <w:r w:rsidRPr="00D2545F">
        <w:rPr>
          <w:rFonts w:asciiTheme="minorHAnsi" w:hAnsiTheme="minorHAnsi" w:cstheme="minorHAnsi"/>
          <w:sz w:val="18"/>
          <w:szCs w:val="20"/>
          <w:vertAlign w:val="superscript"/>
          <w:lang w:val="en-GB"/>
        </w:rPr>
        <w:t xml:space="preserve">3 </w:t>
      </w:r>
      <w:r w:rsidRPr="00D2545F">
        <w:rPr>
          <w:rFonts w:asciiTheme="minorHAnsi" w:hAnsiTheme="minorHAnsi" w:cstheme="minorHAnsi"/>
          <w:sz w:val="18"/>
          <w:szCs w:val="20"/>
          <w:lang w:val="en-GB"/>
        </w:rPr>
        <w:t>School of Biochemistry&amp; Immunology, Trinity Biomedical Sciences Institute, Trinity College Dublin, Dublin 2, Ireland</w:t>
      </w:r>
    </w:p>
    <w:p w14:paraId="413B32B7" w14:textId="77777777" w:rsidR="00537349" w:rsidRPr="00D2545F" w:rsidRDefault="00537349" w:rsidP="00537349">
      <w:pPr>
        <w:pStyle w:val="MDPI16affiliation"/>
        <w:ind w:left="0" w:firstLine="0"/>
        <w:rPr>
          <w:rFonts w:asciiTheme="minorHAnsi" w:hAnsiTheme="minorHAnsi" w:cstheme="minorHAnsi"/>
          <w:sz w:val="18"/>
          <w:szCs w:val="20"/>
          <w:lang w:val="en-GB"/>
        </w:rPr>
      </w:pPr>
      <w:r w:rsidRPr="00D2545F">
        <w:rPr>
          <w:rFonts w:asciiTheme="minorHAnsi" w:hAnsiTheme="minorHAnsi" w:cstheme="minorHAnsi"/>
          <w:sz w:val="18"/>
          <w:szCs w:val="20"/>
          <w:vertAlign w:val="superscript"/>
          <w:lang w:val="en-GB"/>
        </w:rPr>
        <w:t xml:space="preserve">4 </w:t>
      </w:r>
      <w:r w:rsidRPr="00D2545F">
        <w:rPr>
          <w:rFonts w:asciiTheme="minorHAnsi" w:hAnsiTheme="minorHAnsi" w:cstheme="minorHAnsi"/>
          <w:sz w:val="18"/>
          <w:szCs w:val="20"/>
          <w:lang w:val="en-GB"/>
        </w:rPr>
        <w:t>Dubowitz Neuromuscular Centre, UCL Great Ormond Street Institute of Child Health, 30 Guildford Street London WC1N 1EH United Kingdom</w:t>
      </w:r>
    </w:p>
    <w:p w14:paraId="1715708C" w14:textId="77777777" w:rsidR="00537349" w:rsidRPr="00D2545F" w:rsidRDefault="00537349" w:rsidP="00537349">
      <w:pPr>
        <w:pStyle w:val="MDPI16affiliation"/>
        <w:ind w:left="0" w:firstLine="0"/>
        <w:rPr>
          <w:rFonts w:asciiTheme="minorHAnsi" w:hAnsiTheme="minorHAnsi" w:cstheme="minorHAnsi"/>
          <w:sz w:val="18"/>
          <w:szCs w:val="20"/>
          <w:lang w:val="fr-FR"/>
        </w:rPr>
      </w:pPr>
      <w:r w:rsidRPr="00D2545F">
        <w:rPr>
          <w:rFonts w:asciiTheme="minorHAnsi" w:hAnsiTheme="minorHAnsi" w:cstheme="minorHAnsi"/>
          <w:sz w:val="18"/>
          <w:szCs w:val="20"/>
          <w:vertAlign w:val="superscript"/>
          <w:lang w:val="fr-FR"/>
        </w:rPr>
        <w:t>5</w:t>
      </w:r>
      <w:r w:rsidRPr="00D2545F">
        <w:rPr>
          <w:rFonts w:asciiTheme="minorHAnsi" w:hAnsiTheme="minorHAnsi" w:cstheme="minorHAnsi"/>
          <w:sz w:val="18"/>
          <w:szCs w:val="20"/>
          <w:lang w:val="fr-FR"/>
        </w:rPr>
        <w:t xml:space="preserve"> SQY Therapeutics - </w:t>
      </w:r>
      <w:proofErr w:type="spellStart"/>
      <w:r w:rsidRPr="00D2545F">
        <w:rPr>
          <w:rFonts w:asciiTheme="minorHAnsi" w:hAnsiTheme="minorHAnsi" w:cstheme="minorHAnsi"/>
          <w:sz w:val="18"/>
          <w:szCs w:val="20"/>
          <w:lang w:val="fr-FR"/>
        </w:rPr>
        <w:t>Synthena</w:t>
      </w:r>
      <w:proofErr w:type="spellEnd"/>
      <w:r w:rsidRPr="00D2545F">
        <w:rPr>
          <w:rFonts w:asciiTheme="minorHAnsi" w:hAnsiTheme="minorHAnsi" w:cstheme="minorHAnsi"/>
          <w:sz w:val="18"/>
          <w:szCs w:val="20"/>
          <w:lang w:val="fr-FR"/>
        </w:rPr>
        <w:t>, UVSQ, 78180 Montigny le Bretonneux, France.</w:t>
      </w:r>
    </w:p>
    <w:p w14:paraId="2638BC6F" w14:textId="77777777" w:rsidR="00FA5243" w:rsidRPr="00D2545F" w:rsidRDefault="00FA5243" w:rsidP="00FA5243">
      <w:pPr>
        <w:pStyle w:val="MDPI16affiliation"/>
        <w:ind w:left="0" w:firstLine="0"/>
        <w:rPr>
          <w:rFonts w:asciiTheme="minorHAnsi" w:hAnsiTheme="minorHAnsi" w:cstheme="minorHAnsi"/>
          <w:lang w:val="fr-FR"/>
        </w:rPr>
      </w:pPr>
    </w:p>
    <w:p w14:paraId="76F422A5" w14:textId="7BBDBFE0" w:rsidR="00585FE3" w:rsidRPr="00D2545F" w:rsidRDefault="5983C499" w:rsidP="00585FE3">
      <w:pPr>
        <w:spacing w:after="100"/>
        <w:jc w:val="both"/>
        <w:rPr>
          <w:rFonts w:eastAsia="Times New Roman" w:cstheme="minorHAnsi"/>
        </w:rPr>
      </w:pPr>
      <w:r w:rsidRPr="00D2545F">
        <w:rPr>
          <w:rFonts w:eastAsia="Times New Roman" w:cstheme="minorHAnsi"/>
          <w:b/>
          <w:bCs/>
          <w:color w:val="000000" w:themeColor="text1"/>
        </w:rPr>
        <w:t>C</w:t>
      </w:r>
      <w:r w:rsidR="00585FE3" w:rsidRPr="00D2545F">
        <w:rPr>
          <w:rFonts w:eastAsia="Times New Roman" w:cstheme="minorHAnsi"/>
          <w:b/>
          <w:bCs/>
          <w:color w:val="000000" w:themeColor="text1"/>
        </w:rPr>
        <w:t>orresponding author:</w:t>
      </w:r>
      <w:r w:rsidR="00585FE3" w:rsidRPr="00D2545F">
        <w:rPr>
          <w:rFonts w:eastAsia="Times New Roman" w:cstheme="minorHAnsi"/>
          <w:color w:val="000000" w:themeColor="text1"/>
        </w:rPr>
        <w:t xml:space="preserve"> </w:t>
      </w:r>
      <w:r w:rsidR="00A66565" w:rsidRPr="00D2545F">
        <w:rPr>
          <w:rFonts w:cstheme="minorHAnsi"/>
        </w:rPr>
        <w:t>Aurélie Goyenvalle</w:t>
      </w:r>
      <w:r w:rsidR="00A66565" w:rsidRPr="00D2545F">
        <w:rPr>
          <w:rFonts w:cstheme="minorHAnsi"/>
          <w:vertAlign w:val="superscript"/>
        </w:rPr>
        <w:t xml:space="preserve"> </w:t>
      </w:r>
      <w:r w:rsidR="00A66565" w:rsidRPr="00D2545F">
        <w:rPr>
          <w:rFonts w:eastAsia="Times New Roman" w:cstheme="minorHAnsi"/>
          <w:color w:val="000000" w:themeColor="text1"/>
        </w:rPr>
        <w:t>(</w:t>
      </w:r>
      <w:hyperlink r:id="rId6" w:history="1">
        <w:r w:rsidR="00173790" w:rsidRPr="00D2545F">
          <w:rPr>
            <w:rStyle w:val="Lienhypertexte"/>
            <w:rFonts w:eastAsia="Times New Roman" w:cstheme="minorHAnsi"/>
          </w:rPr>
          <w:t>aurelie.goyenvalle@uvsq.fr</w:t>
        </w:r>
      </w:hyperlink>
      <w:r w:rsidR="00585FE3" w:rsidRPr="00D2545F">
        <w:rPr>
          <w:rFonts w:eastAsia="Times New Roman" w:cstheme="minorHAnsi"/>
          <w:color w:val="000000" w:themeColor="text1"/>
        </w:rPr>
        <w:t>)</w:t>
      </w:r>
    </w:p>
    <w:p w14:paraId="0EE204C9"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ABSTRACT*</w:t>
      </w:r>
    </w:p>
    <w:p w14:paraId="0FDE5BC7"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170 words maximum, no references</w:t>
      </w:r>
    </w:p>
    <w:p w14:paraId="6073A314" w14:textId="77777777" w:rsidR="00585FE3" w:rsidRPr="00D2545F" w:rsidRDefault="00585FE3" w:rsidP="00585FE3">
      <w:pPr>
        <w:spacing w:after="80"/>
        <w:jc w:val="both"/>
        <w:rPr>
          <w:rFonts w:eastAsia="Times New Roman" w:cstheme="minorHAnsi"/>
          <w:i/>
          <w:iCs/>
          <w:color w:val="38761D"/>
          <w:sz w:val="20"/>
          <w:szCs w:val="20"/>
        </w:rPr>
      </w:pPr>
      <w:r w:rsidRPr="00D2545F">
        <w:rPr>
          <w:rFonts w:eastAsia="Times New Roman" w:cstheme="minorHAnsi"/>
          <w:i/>
          <w:iCs/>
          <w:color w:val="38761D"/>
          <w:sz w:val="20"/>
          <w:szCs w:val="20"/>
        </w:rPr>
        <w:t>The abstract should concisely describe the study, the assay(s) performed, the resulting data, and their reuse potential, but should not make any claims regarding new scientific findings.</w:t>
      </w:r>
    </w:p>
    <w:p w14:paraId="4F7F181D" w14:textId="77777777" w:rsidR="003C06E2" w:rsidRPr="00D2545F" w:rsidRDefault="003C06E2" w:rsidP="00585FE3">
      <w:pPr>
        <w:spacing w:after="80"/>
        <w:jc w:val="both"/>
        <w:rPr>
          <w:rFonts w:eastAsia="Times New Roman" w:cstheme="minorHAnsi"/>
          <w:sz w:val="24"/>
          <w:szCs w:val="24"/>
        </w:rPr>
      </w:pPr>
    </w:p>
    <w:p w14:paraId="63252F4D" w14:textId="77777777" w:rsidR="00537349" w:rsidRPr="00941C6B" w:rsidRDefault="00537349" w:rsidP="00537349">
      <w:pPr>
        <w:spacing w:after="100"/>
        <w:jc w:val="both"/>
        <w:rPr>
          <w:rFonts w:eastAsia="Times New Roman" w:cstheme="minorHAnsi"/>
        </w:rPr>
      </w:pPr>
      <w:r w:rsidRPr="00941C6B">
        <w:rPr>
          <w:rFonts w:eastAsia="Times New Roman" w:cstheme="minorHAnsi"/>
        </w:rPr>
        <w:t xml:space="preserve">Nucleic acid-based therapies have demonstrated great potential for the treatment of monogenetic diseases, including neurologic disorders. To date, regulatory approval has been received for a dozen antisense oligonucleotides (ASO), however these chemistries cannot readily cross the blood-brain-barrier when administered systemically. Therefore, an investigation of their potential effects within the central nervous system (CNS) requires local delivery. Here we studied the brain distribution and exon-skipping efficacy of two ASO chemistries, PMO and tcDNA, when delivered to the cerebrospinal fluid (CSF) of mice carrying a deletion in exon 52 of the dystrophin gene, a model of Duchenne muscular dystrophy (DMD). Following </w:t>
      </w:r>
      <w:proofErr w:type="spellStart"/>
      <w:r w:rsidRPr="00941C6B">
        <w:rPr>
          <w:rFonts w:eastAsia="Times New Roman" w:cstheme="minorHAnsi"/>
        </w:rPr>
        <w:t>intracerebroventricular</w:t>
      </w:r>
      <w:proofErr w:type="spellEnd"/>
      <w:r w:rsidRPr="00941C6B">
        <w:rPr>
          <w:rFonts w:eastAsia="Times New Roman" w:cstheme="minorHAnsi"/>
        </w:rPr>
        <w:t xml:space="preserve"> (ICV) delivery (unilateral, bilateral, bolus vs slow rate, repeated via cannula or very slow via osmotic pumps), ASO levels were quantified across brain regions and exon 51 </w:t>
      </w:r>
      <w:r w:rsidRPr="00941C6B">
        <w:rPr>
          <w:rFonts w:eastAsia="Times New Roman" w:cstheme="minorHAnsi"/>
        </w:rPr>
        <w:lastRenderedPageBreak/>
        <w:t xml:space="preserve">skipping evaluated, revealing that tcDNA treatment invariably generates comparable or higher skipping relative to PMO, even when the PMO was administered at higher doses. We also performed intra-cisterna magna (ICM) delivery as an alternative route for CSF delivery and found a biased distribution of the ASOs towards posterior brain regions, including the cerebellum, hindbrain, and the cervical part of the spinal cord. Finally, we combined both ICV and ICM injection methods to assess the potential of an additive effect of this methodology in inducing efficient exon skipping across different brain regions. </w:t>
      </w:r>
    </w:p>
    <w:p w14:paraId="47670541" w14:textId="77777777" w:rsidR="003C06E2" w:rsidRPr="00D2545F" w:rsidRDefault="003C06E2" w:rsidP="00585FE3">
      <w:pPr>
        <w:spacing w:after="100"/>
        <w:jc w:val="both"/>
        <w:rPr>
          <w:rFonts w:eastAsia="Times New Roman" w:cstheme="minorHAnsi"/>
          <w:sz w:val="24"/>
          <w:szCs w:val="24"/>
        </w:rPr>
      </w:pPr>
    </w:p>
    <w:p w14:paraId="03EDCDAC"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BACKGROUND &amp; SUMMARY</w:t>
      </w:r>
    </w:p>
    <w:p w14:paraId="54F7E22D"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700 words maximum, optional section</w:t>
      </w:r>
    </w:p>
    <w:p w14:paraId="44ACB602" w14:textId="77777777" w:rsidR="00585FE3" w:rsidRPr="00D2545F" w:rsidRDefault="00585FE3" w:rsidP="00585FE3">
      <w:pPr>
        <w:spacing w:after="80"/>
        <w:jc w:val="both"/>
        <w:rPr>
          <w:rFonts w:eastAsia="Times New Roman" w:cstheme="minorHAnsi"/>
          <w:i/>
          <w:iCs/>
          <w:color w:val="38761D"/>
          <w:sz w:val="20"/>
          <w:szCs w:val="20"/>
        </w:rPr>
      </w:pPr>
      <w:r w:rsidRPr="00D2545F">
        <w:rPr>
          <w:rFonts w:eastAsia="Times New Roman" w:cstheme="minorHAnsi"/>
          <w:i/>
          <w:iCs/>
          <w:color w:val="38761D"/>
          <w:sz w:val="20"/>
          <w:szCs w:val="20"/>
        </w:rPr>
        <w:t>This section should provide a more detailed overview of the study, the assay(s) performed, and the resulting data as well as referencing previous work and related literature to put the study into context. This section should also briefly outline the broader goals that motivated collection of the data, as well as their potential reuse value.</w:t>
      </w:r>
    </w:p>
    <w:p w14:paraId="2753B02D" w14:textId="77777777" w:rsidR="003C06E2" w:rsidRPr="00D2545F" w:rsidRDefault="003C06E2" w:rsidP="00585FE3">
      <w:pPr>
        <w:spacing w:after="80"/>
        <w:jc w:val="both"/>
        <w:rPr>
          <w:rFonts w:eastAsia="Times New Roman" w:cstheme="minorHAnsi"/>
          <w:sz w:val="24"/>
          <w:szCs w:val="24"/>
        </w:rPr>
      </w:pPr>
    </w:p>
    <w:p w14:paraId="03663A04" w14:textId="22D134C8" w:rsidR="00537349" w:rsidRPr="00941C6B" w:rsidRDefault="00537349" w:rsidP="00537349">
      <w:pPr>
        <w:pStyle w:val="MDPI31text"/>
        <w:ind w:left="0"/>
        <w:rPr>
          <w:rFonts w:asciiTheme="minorHAnsi" w:hAnsiTheme="minorHAnsi" w:cstheme="minorHAnsi"/>
          <w:b/>
          <w:sz w:val="22"/>
          <w:lang w:val="en-GB"/>
        </w:rPr>
      </w:pPr>
      <w:bookmarkStart w:id="0" w:name="_Hlk126226081"/>
      <w:r w:rsidRPr="00941C6B">
        <w:rPr>
          <w:rFonts w:asciiTheme="minorHAnsi" w:hAnsiTheme="minorHAnsi" w:cstheme="minorHAnsi"/>
          <w:sz w:val="22"/>
          <w:lang w:val="en-GB"/>
        </w:rPr>
        <w:t xml:space="preserve">Antisense oligonucleotides (ASOs) hold tremendous therapeutic potential for many genetic diseases. ASOs are short, synthetic, single-stranded oligonucleotides that can bind to mRNA and non-coding RNAs to reduce, restore, or modify protein expression </w:t>
      </w:r>
      <w:r w:rsidRPr="00941C6B">
        <w:rPr>
          <w:rFonts w:asciiTheme="minorHAnsi" w:hAnsiTheme="minorHAnsi" w:cstheme="minorHAnsi"/>
          <w:b/>
          <w:sz w:val="22"/>
          <w:lang w:val="en-GB"/>
        </w:rPr>
        <w:fldChar w:fldCharType="begin"/>
      </w:r>
      <w:r w:rsidRPr="00941C6B">
        <w:rPr>
          <w:rFonts w:asciiTheme="minorHAnsi" w:hAnsiTheme="minorHAnsi" w:cstheme="minorHAnsi"/>
          <w:sz w:val="22"/>
          <w:lang w:val="en-GB"/>
        </w:rPr>
        <w:instrText xml:space="preserve"> ADDIN ZOTERO_ITEM CSL_CITATION {"citationID":"C4LpEQD7","properties":{"formattedCitation":"\\super 1\\uc0\\u8211{}3\\nosupersub{}","plainCitation":"1–3","noteIndex":0},"citationItems":[{"id":5725,"uris":["http://zotero.org/users/local/yyfzeTvR/items/FXRKFS84"],"itemData":{"id":5725,"type":"article-journal","abstract":"The in vitro stability and metabolism of GEM[91, a 25mer phosphorothioate antisense oligonucleotide complementary to the gag mRNA region of HIV-1, was investigated using capillary electrophoresis (CE). The in vitro degradation of the parent compound at 37 degrees C was followed over the course of 120 h in human plasma. A CE method using laser-induced fluorescence detection was able to detect 5'-end intact metabolites including the parent compound extracted from biological fluids. Because the primary metabolic pathway is believed to be via 3'-exonuclease activity, the results of this study were compared with the stability of the compound in a solution containing 3'-exonuclease. The numerical solution of sequential first-order reactions was used to obtain kinetic parameters. Exonuclease digestion of the parent compound, as measured using an automated CE-UV instrument, yielded striking similarities between the two in vitro systems as well as between in vitro and in vivo systems.","container-title":"Nucleic Acids Research","DOI":"10.1093/nar/25.18.3615","ISSN":"0305-1048","issue":"18","journalAbbreviation":"Nucleic Acids Res","language":"eng","note":"PMID: 9278481\nPMCID: PMC146928","page":"3615-3620","source":"PubMed","title":"Kinetics of phosphorothioate oligonucleotide metabolism in biological fluids","volume":"25","author":[{"family":"Gilar","given":"M."},{"family":"Belenky","given":"A."},{"family":"Smisek","given":"D. L."},{"family":"Bourque","given":"A."},{"family":"Cohen","given":"A. S."}],"issued":{"date-parts":[["1997",9,15]]}}},{"id":5720,"uris":["http://zotero.org/users/local/yyfzeTvR/items/J5G5W6ZI"],"itemData":{"id":5720,"type":"article-journal","abstract":"Photochemical approaches afford high spatiotemporal control over molecular structure and function, for broad applications in materials and biological science. Here, we present the first example of a visible light responsive ruthenium-based photolinker, Ru(bipyridine)2(3-ethynylpyridine)2 (RuBEP), which was reacted stoichiometrically with a 25mer DNA or morpholino (MO) oligonucleotide functionalized with 3' and 5' terminal azides, via Cu(I)-mediated [3+2] Huisgen cycloaddition reactions. RuBEP-caged circular morpholinos (Ru-MOs) targeting two early developmental zebrafish genes, chordin and notail, were synthesized and tested in vivo. One-cell-stage zebrafish embryos microinjected with Ru-MO and incubated in the dark for 24 h developed normally, consistent with caging, whereas irradiation at 450 nm dissociated one 3-ethynylpyridine ligand (ϕ = 0.33) and uncaged the MO to achieve gene knockdown. As demonstrated, Ru photolinkers provide a versatile method for controlling structure and function of biopolymers.","container-title":"Chemical Science","DOI":"10.1039/C4SC03990D","ISSN":"2041-6520","issue":"4","journalAbbreviation":"Chem Sci","language":"eng","note":"PMID: 26023327\nPMCID: PMC4443914","page":"2342-2346","source":"PubMed","title":"Ruthenium-Caged Antisense Morpholinos for Regulating Gene Expression in Zebrafish Embryos","volume":"6","author":[{"family":"Griepenburg","given":"J. C."},{"family":"Rapp","given":"T. L."},{"family":"Carroll","given":"P. J."},{"family":"Eberwine","given":"J."},{"family":"Dmochowski","given":"I. J."}],"issued":{"date-parts":[["2015",4,1]]}}},{"id":5718,"uris":["http://zotero.org/users/local/yyfzeTvR/items/CCWZU9G4"],"itemData":{"id":5718,"type":"article-journal","abstract":"Sequence-specific hybridization of antisense and antigene agent to the target nucleic acid is an important therapeutic strategy to modulate gene expression. However, efficiency of such agents falls due to inherent intramolecular-secondary-structures present in the target that pose competition to intermolecular hybridization by complementary antisense/antigene agent. Performance of these agents can be improved by employing structurally modified complementary oligonucleotides that efficiently hybridize to the target and force it to transit from an intramolecular-structured-state to an intermolecular-duplex state. In this study, the potential of variably substituted locked nucleic acid-modified oligonucleotides (8mer) to hybridize and disrupt highly stable, secondary structure of nucleic acid has been biophysically characterized and compared with the conventionally used unmodified DNA oligonucleotides. The target here is a stem-loop hairpin oligonucleotide-a structure commonly present in most structured-nucleic acids and known to exhibit an array of biological functions. Using fluorescence-based studies and EMSA we prove that LNA-modified oligonucleotides hybridize to the target hairpin with higher binding affinity even at lower concentration and subsequently, force it to assume a duplex conformation. LNA-modified oligonucleotides may thus, prove as potential therapeutic candidates to manipulate gene expression by disruption of biologically relevant nucleic acid secondary structure.","container-title":"Biochemical and Biophysical Research Communications","DOI":"10.1016/j.bbrc.2006.10.155","ISSN":"0006-291X","issue":"1","journalAbbreviation":"Biochem Biophys Res Commun","language":"eng","note":"PMID: 17107660","page":"118-122","source":"PubMed","title":"LNA-modified oligonucleotides effectively drive intramolecular-stable hairpin to intermolecular-duplex state","volume":"352","author":[{"family":"Kaur","given":"Harleen"},{"family":"Wengel","given":"Jesper"},{"family":"Maiti","given":"Souvik"}],"issued":{"date-parts":[["2007",1,5]]}}}],"schema":"https://github.com/citation-style-language/schema/raw/master/csl-citation.json"}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1–3</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Several ASOs have already reached market approval, in particular for the treatment of neuromuscular disorders like spinal muscular atrophy (SMA) and Duchenne muscular dystrophy (DMD). DMD is a neuromuscular disease with an incidence of 1:5000 boys, who carry mutations of the </w:t>
      </w:r>
      <w:r w:rsidRPr="00941C6B">
        <w:rPr>
          <w:rFonts w:asciiTheme="minorHAnsi" w:hAnsiTheme="minorHAnsi" w:cstheme="minorHAnsi"/>
          <w:i/>
          <w:iCs/>
          <w:sz w:val="22"/>
          <w:lang w:val="en-GB"/>
        </w:rPr>
        <w:t>DMD</w:t>
      </w:r>
      <w:r w:rsidRPr="00941C6B">
        <w:rPr>
          <w:rFonts w:asciiTheme="minorHAnsi" w:hAnsiTheme="minorHAnsi" w:cstheme="minorHAnsi"/>
          <w:sz w:val="22"/>
          <w:lang w:val="en-GB"/>
        </w:rPr>
        <w:t xml:space="preserve"> gene that disrupt the open-reading frame of the dystrophin protein (</w:t>
      </w:r>
      <w:proofErr w:type="spellStart"/>
      <w:r w:rsidRPr="00941C6B">
        <w:rPr>
          <w:rFonts w:asciiTheme="minorHAnsi" w:hAnsiTheme="minorHAnsi" w:cstheme="minorHAnsi"/>
          <w:sz w:val="22"/>
          <w:lang w:val="en-GB"/>
        </w:rPr>
        <w:t>Dp</w:t>
      </w:r>
      <w:proofErr w:type="spellEnd"/>
      <w:r w:rsidRPr="00941C6B">
        <w:rPr>
          <w:rFonts w:asciiTheme="minorHAnsi" w:hAnsiTheme="minorHAnsi" w:cstheme="minorHAnsi"/>
          <w:sz w:val="22"/>
          <w:lang w:val="en-GB"/>
        </w:rPr>
        <w:t xml:space="preserve">) in muscle, heart and brain </w:t>
      </w:r>
      <w:r w:rsidRPr="00941C6B">
        <w:rPr>
          <w:rFonts w:asciiTheme="minorHAnsi" w:hAnsiTheme="minorHAnsi" w:cstheme="minorHAnsi"/>
          <w:b/>
          <w:sz w:val="22"/>
          <w:lang w:val="en-GB"/>
        </w:rPr>
        <w:fldChar w:fldCharType="begin"/>
      </w:r>
      <w:r w:rsidRPr="00941C6B">
        <w:rPr>
          <w:rFonts w:asciiTheme="minorHAnsi" w:hAnsiTheme="minorHAnsi" w:cstheme="minorHAnsi"/>
          <w:sz w:val="22"/>
          <w:lang w:val="en-GB"/>
        </w:rPr>
        <w:instrText xml:space="preserve"> ADDIN ZOTERO_ITEM CSL_CITATION {"citationID":"Jsm3mnmZ","properties":{"formattedCitation":"\\super 4,5\\nosupersub{}","plainCitation":"4,5","noteIndex":0},"citationItems":[{"id":4406,"uris":["http://zotero.org/users/local/yyfzeTvR/items/MWWFAGJZ"],"itemData":{"id":4406,"type":"article-journal","abstract":"Duchenne muscular dystrophy (DMD) is a human X-linked biochemical defect resulting in the progressive wasting of skeletal muscle of affected individuals. It is the most common and is considered to be the most devastating of the muscular dystrophies, affecting about 1 in 3,500 live-born males. The gene that, when defective, results in this disorder was recently isolated. Using the cloned complementary DNA sequences corresponding to the DMD gene, antibodies have been produced that react with a protein species of relative molecular mass (Mr) approximately 400,000 (400K) which was absent in two DMD-affected individuals and in mdx mice. This protein species is called dystrophin because of its identification by molecular-genetic analysis of affected individuals. Here we show that dystrophin is associated with the triadic junctions in skeletal muscle, and is therefore probably involved with Ca2+ homoeostasis. We also show that the approximately 450K ryanodine receptor/sarcoplasmic reticulum Ca2+ channel, which has the large size and subcellular distribution characteristics of dystrophin, is an immunologically distinct protein species.","container-title":"Nature","DOI":"10.1038/330754a0","ISSN":"0028-0836","issue":"6150","journalAbbreviation":"Nature","language":"eng","note":"PMID: 2447503","page":"754-758","source":"PubMed","title":"Subcellular fractionation of dystrophin to the triads of skeletal muscle","volume":"330","author":[{"family":"Hoffman","given":"E. P."},{"family":"Knudson","given":"C. M."},{"family":"Campbell","given":"K. P."},{"family":"Kunkel","given":"L. M."}],"issued":{"date-parts":[["1987",12,24]]}}},{"id":5755,"uris":["http://zotero.org/users/local/yyfzeTvR/items/JK8VFYGJ"],"itemData":{"id":5755,"type":"article-journal","abstract":"The muscular dystrophies are a broad group of hereditary muscle diseases with variable severity. Population-based prevalence estimates have been reported but pooled estimates are not available. We performed a systematic review of worldwide population-based studies reporting muscular dystrophies prevalence and/or incidence using MEDLINE and EMBASE databases. The search strategy included key terms related to muscular dystrophies, incidence, prevalence and epidemiology. Two reviewers independently reviewed all abstracts, full text articles and abstracted data using standardized forms. Pooling of prevalence estimates was performed using random effect models. 1104 abstracts and 167 full text articles were reviewed. Thirty-one studies met all eligibility criteria and were included in the final analysis. The studies differed widely in their approaches to case ascertainment, resulting in significant methodological heterogeneity and varied data quality. The pooled prevalence of DMD and BMD was 4.78 (95% CI 1.94-11.81) and 1.53 (95% CI 0.26-8.94) per 100,000 males respectively. The incidence of DMD ranged from 10.71 to 27.78 per 100,000. This is the first meta-analysis of worldwide prevalence estimates for muscular dystrophies. There is a need for more epidemiological studies addressing global estimates on incidence and prevalence of muscular dystrophies, utilizing standardized diagnostic criteria as well as multiple sources of case ascertainment.","container-title":"Neuromuscular disorders: NMD","DOI":"10.1016/j.nmd.2014.03.008","ISSN":"1873-2364","issue":"6","journalAbbreviation":"Neuromuscul Disord","language":"eng","note":"PMID: 24780148","page":"482-491","source":"PubMed","title":"A systematic review and meta-analysis on the epidemiology of Duchenne and Becker muscular dystrophy","volume":"24","author":[{"family":"Mah","given":"Jean K."},{"family":"Korngut","given":"Lawrence"},{"family":"Dykeman","given":"Jonathan"},{"family":"Day","given":"Lundy"},{"family":"Pringsheim","given":"Tamara"},{"family":"Jette","given":"Nathalie"}],"issued":{"date-parts":[["2014",6]]}}}],"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4,5</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The ASOs used in DMD aim to restore the open reading frame to produce an internally deleted but still functional protein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{"citationID":"M5FgjBZF","properties":{"formattedCitation":"\\super 6\\uc0\\u8211{}8\\nosupersub{}","plainCitation":"6–8","noteIndex":0},"citationItems":[{"id":5637,"uris":["http://zotero.org/users/local/yyfzeTvR/items/5B44NBMX"],"itemData":{"id":5637,"type":"article-journal","abstract":"Antisense oligonucleotides (AONs) can be used to correct the disrupted reading frame of Duchenne muscular dystophy patients (DMD). We have a collection of 121 AONs, of which 79 are effective in inducing the specific skipping of 38 out of the 79 different DMD exons. All AONs are located within exons and were hypothesized to act by steric hindrance of serine-arginine rich (SR) protein binding to exonic splicing enhancer (ESE) sites. Indeed, retrospective in silico analysis of effective versus ineffective AONs revealed that the efficacy of AONs is correlated to the presence of putative ESE sites (as predicted by the ESEfinder and RESCUE-ESE software). ESE predicting software programs are thus valuable tools for the optimization of exon-internal antisense target sequences.","container-title":"Annals of the New York Academy of Sciences","DOI":"10.1196/annals.1348.058","ISSN":"0077-8923","journalAbbreviation":"Ann N Y Acad Sci","language":"eng","note":"PMID: 17145928","page":"74-76","source":"PubMed","title":"Therapeutic modulation of DMD splicing by blocking exonic splicing enhancer sites with antisense oligonucleotides","volume":"1082","author":[{"family":"Aartsma-Rus","given":"A."},{"family":"Janson","given":"A. a. M."},{"family":"Heemskerk","given":"J. A."},{"family":"De Winter","given":"C. L."},{"family":"Van Ommen","given":"G.-J. B."},{"family":"Van Deutekom","given":"J. C. T."}],"issued":{"date-parts":[["2006",10]]}}},{"id":5631,"uris":["http://zotero.org/users/local/yyfzeTvR/items/RRZ5FXMA"],"itemData":{"id":5631,"type":"article-journal","abstract":"Deletions and point mutations in the gene encoding the cytoskeletal protein dystrophin and its isoforms cause either the severe progressive myopathy Duchenne muscular dystrophy (DMD) or the milder Becker muscular dystrophy (BMD), largely depending on whether the reading frame is lost or maintained respectively. Frameshift mutations tend to result in a lack of dystrophin at the sarcolemma, destabilization of the membrane and degeneration of skeletal muscle. The mdx mouse is a valuable animal model of DMD as it bears a nonsense point mutation in exon 23 of the murine DMD gene leading to an absence of dystrophin expression in the muscle sarcolemma and muscular dystrophy. This report represents a novel approach to correct dystrophin deficiency at the post-transcriptional level by transfection of muscle cells with antisense RNA. Essentially, 2'- O -methyl oligoribonucleotides (2'OMeRNA) were delivered to the nuclei of primary mdx myoblasts in culture. Dystrophin expression was observed in the sarcolemma of transfected mdx myotubes after transfection by an oligonucleotide complementary to the 3' splice site of murine dystrophin intron 22. Direct sequencing of RT-PCR products from these cells revealed precise splicing of exon 22 to exon 30, skipping the mutant exon and creating a novel in-frame dystrophin transcript. As patients with comparable in-frame internal deletions show relatively mild myopathic symptoms, this may in the future offer a therapeutic approach for DMD, as well as for other inherited disorders.","container-title":"Human Molecular Genetics","DOI":"10.1093/hmg/7.7.1083","ISSN":"0964-6906","issue":"7","journalAbbreviation":"Hum Mol Genet","language":"eng","note":"PMID: 9618164","page":"1083-1090","source":"PubMed","title":"Modification of splicing in the dystrophin gene in cultured Mdx muscle cells by antisense oligoribonucleotides","volume":"7","author":[{"family":"Dunckley","given":"M. G."},{"family":"Manoharan","given":"M."},{"family":"Villiet","given":"P."},{"family":"Eperon","given":"I. C."},{"family":"Dickson","given":"G."}],"issued":{"date-parts":[["1998",7]]}}},{"id":"1hUfqaya/aLgYNXl7","uris":["http://zotero.org/users/4458352/items/MD9T8Z9D"],"itemData":{"id":3218,"type":"article-journal","container-title":"Science (New York, N.Y.)","DOI":"10.1126/science.aba4515","ISSN":"1095-9203","issue":"6524","journalAbbreviation":"Science","language":"eng","note":"PMID: 33384365","page":"29-31","source":"PubMed","title":"RNA-targeted drugs for neuromuscular diseases","volume":"371","author":[{"family":"Ferlini","given":"Alessandra"},{"family":"Goyenvalle","given":"Aurelie"},{"family":"Muntoni","given":"Francesco"}],"issued":{"date-parts":[["2021",1,1]]}}}],"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6–8</w:t>
      </w:r>
      <w:r w:rsidRPr="00941C6B">
        <w:rPr>
          <w:rFonts w:asciiTheme="minorHAnsi" w:hAnsiTheme="minorHAnsi" w:cstheme="minorHAnsi"/>
          <w:b/>
          <w:sz w:val="22"/>
        </w:rPr>
        <w:fldChar w:fldCharType="end"/>
      </w:r>
      <w:r w:rsidRPr="00941C6B">
        <w:rPr>
          <w:rFonts w:asciiTheme="minorHAnsi" w:hAnsiTheme="minorHAnsi" w:cstheme="minorHAnsi"/>
          <w:sz w:val="22"/>
        </w:rPr>
        <w:t xml:space="preserve">. </w:t>
      </w:r>
      <w:r w:rsidRPr="00941C6B">
        <w:rPr>
          <w:rFonts w:asciiTheme="minorHAnsi" w:hAnsiTheme="minorHAnsi" w:cstheme="minorHAnsi"/>
          <w:sz w:val="22"/>
          <w:lang w:val="en-GB"/>
        </w:rPr>
        <w:t xml:space="preserve">Over the past decade, a number of ASOs have been developed to target </w:t>
      </w:r>
      <w:r w:rsidRPr="00941C6B">
        <w:rPr>
          <w:rFonts w:asciiTheme="minorHAnsi" w:hAnsiTheme="minorHAnsi" w:cstheme="minorHAnsi"/>
          <w:sz w:val="22"/>
        </w:rPr>
        <w:t>exons flanking different relatively common groups of DMD mutations</w:t>
      </w:r>
      <w:r w:rsidRPr="00941C6B">
        <w:rPr>
          <w:rFonts w:asciiTheme="minorHAnsi" w:hAnsiTheme="minorHAnsi" w:cstheme="minorHAnsi"/>
          <w:sz w:val="22"/>
          <w:lang w:val="en-GB"/>
        </w:rPr>
        <w:t xml:space="preserve">, leading to four such therapies being conditionally approved by the FDA. These ASOs require regular (weekly) systemic administration via intravenous route. However, none of these ASOs can address DMD brain comorbidities which have a significant impact on the patients’ quality of life. These include intellectual disability and </w:t>
      </w:r>
      <w:proofErr w:type="spellStart"/>
      <w:r w:rsidRPr="00941C6B">
        <w:rPr>
          <w:rFonts w:asciiTheme="minorHAnsi" w:hAnsiTheme="minorHAnsi" w:cstheme="minorHAnsi"/>
          <w:sz w:val="22"/>
          <w:lang w:val="en-GB"/>
        </w:rPr>
        <w:t>neurobehavioural</w:t>
      </w:r>
      <w:proofErr w:type="spellEnd"/>
      <w:r w:rsidRPr="00941C6B">
        <w:rPr>
          <w:rFonts w:asciiTheme="minorHAnsi" w:hAnsiTheme="minorHAnsi" w:cstheme="minorHAnsi"/>
          <w:sz w:val="22"/>
          <w:lang w:val="en-GB"/>
        </w:rPr>
        <w:t xml:space="preserve"> comorbidities, affecting between 30 and 50 % of individuals with DMD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{"citationID":"eYSqQQr5","properties":{"formattedCitation":"\\super 9,10\\nosupersub{}","plainCitation":"9,10","noteIndex":0},"citationItems":[{"id":"1hUfqaya/Rtv3XF3g","uris":["http://zotero.org/users/4458352/items/QB48Q9AA"],"itemData":{"id":3841,"type":"article-journal","abstract":"AIM: Duchenne Muscular Dystrophy (DMD) is more than a muscle disease since there is a higher prevalence of neuropsychological comorbidities. Similarly, the prevalence of epilepsy is increased. Given the nowadays-increasing interest in brain-related comorbidities in DMD, this study aimed to evaluate the relationship between DMD, epilepsy, and associated neurodevelopmental disorders in an international sample of DMD patients.\nMETHOD: Using a questionnaire-based study we investigated the occurrence of self/by-proxy reported brain-related comorbidities in a group of 228 DMD patients. We evaluated the presence of epilepsy and other brain-related comorbidities, but also the specific mutation in the dystrophin gene. With respect to epilepsy, all individually reported epilepsy cases as based on the questionnaire results including information provided on epilepsy treatment, EEG abnormalities, and a description of how a typical seizure would look like, were independently and blindly re-assessed by two external paediatric neurologists (Cohen's kappa of 0.85).\nRESULTS: Based on the latter, 18 (7.9%) DMD patients were considered to have epilepsy. In patients with both DMD and epilepsy, certain other brain-related comorbidities (i.e. attention deficit hyperactivity disorder, obsessive compulsive disorder, anxiety disorders and sleep disorders) were significantly more prevalent.\nCONCLUSION: This study is supportive of a high occurrence of epilepsy and other brain-related comorbidities in DMD. Furthermore this study shows for the first time that the frequency of some of these disorders appear to be further increased when epilepsy is present next to DMD. As this study is limited by the self/by proxy setup and the lack of response rates, future studies should elucidate the true incidence of the (triangular) cooccurrence between epilepsy, neurodevelopmental deficits, and DMD.","container-title":"European journal of paediatric neurology: EJPN: official journal of the European Paediatric Neurology Society","DOI":"10.1016/j.ejpn.2017.12.004","ISSN":"1532-2130","issue":"3","journalAbbreviation":"Eur J Paediatr Neurol","language":"eng","note":"PMID: 29306518","page":"488-497","source":"PubMed","title":"Brain-related comorbidities in boys and men with Duchenne Muscular Dystrophy: A descriptive study","title-short":"Brain-related comorbidities in boys and men with Duchenne Muscular Dystrophy","volume":"22","author":[{"family":"Hendriksen","given":"Ruben G. F."},{"family":"Vles","given":"Johan S. H."},{"family":"Aalbers","given":"Marlien W."},{"family":"Chin","given":"Richard F. M."},{"family":"Hendriksen","given":"Jos G. M."}],"issued":{"date-parts":[["2018",5]]}}},{"id":5172,"uris":["http://zotero.org/users/local/yyfzeTvR/items/RPHQFSXF"],"itemData":{"id":5172,"type":"article-journal","abstract":"AIM: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9,10</w:t>
      </w:r>
      <w:r w:rsidRPr="00941C6B">
        <w:rPr>
          <w:rFonts w:asciiTheme="minorHAnsi" w:hAnsiTheme="minorHAnsi" w:cstheme="minorHAnsi"/>
          <w:b/>
          <w:sz w:val="22"/>
        </w:rPr>
        <w:fldChar w:fldCharType="end"/>
      </w:r>
      <w:r w:rsidRPr="00941C6B">
        <w:rPr>
          <w:rFonts w:asciiTheme="minorHAnsi" w:hAnsiTheme="minorHAnsi" w:cstheme="minorHAnsi"/>
          <w:sz w:val="22"/>
        </w:rPr>
        <w:t xml:space="preserve">. </w:t>
      </w:r>
      <w:r w:rsidRPr="00941C6B">
        <w:rPr>
          <w:rFonts w:asciiTheme="minorHAnsi" w:hAnsiTheme="minorHAnsi" w:cstheme="minorHAnsi"/>
          <w:sz w:val="22"/>
          <w:lang w:val="en-GB"/>
        </w:rPr>
        <w:t xml:space="preserve">The European </w:t>
      </w:r>
      <w:r w:rsidRPr="00941C6B">
        <w:rPr>
          <w:rFonts w:asciiTheme="minorHAnsi" w:hAnsiTheme="minorHAnsi" w:cstheme="minorHAnsi"/>
          <w:i/>
          <w:sz w:val="22"/>
          <w:lang w:val="en-GB"/>
        </w:rPr>
        <w:t xml:space="preserve">Brain Involvement in </w:t>
      </w:r>
      <w:proofErr w:type="spellStart"/>
      <w:r w:rsidRPr="00941C6B">
        <w:rPr>
          <w:rFonts w:asciiTheme="minorHAnsi" w:hAnsiTheme="minorHAnsi" w:cstheme="minorHAnsi"/>
          <w:i/>
          <w:sz w:val="22"/>
          <w:lang w:val="en-GB"/>
        </w:rPr>
        <w:t>Dystrophinopathies</w:t>
      </w:r>
      <w:proofErr w:type="spellEnd"/>
      <w:r w:rsidRPr="00941C6B">
        <w:rPr>
          <w:rFonts w:asciiTheme="minorHAnsi" w:hAnsiTheme="minorHAnsi" w:cstheme="minorHAnsi"/>
          <w:sz w:val="22"/>
          <w:lang w:val="en-GB"/>
        </w:rPr>
        <w:t xml:space="preserve"> (BIND) consortium (</w:t>
      </w:r>
      <w:hyperlink r:id="rId7" w:history="1">
        <w:r w:rsidRPr="00941C6B">
          <w:rPr>
            <w:rStyle w:val="Lienhypertexte"/>
            <w:rFonts w:asciiTheme="minorHAnsi" w:hAnsiTheme="minorHAnsi" w:cstheme="minorHAnsi"/>
            <w:bCs/>
            <w:sz w:val="22"/>
            <w:lang w:val="en-GB"/>
          </w:rPr>
          <w:t>https://bindproject.eu/</w:t>
        </w:r>
      </w:hyperlink>
      <w:r w:rsidRPr="00941C6B">
        <w:rPr>
          <w:rFonts w:asciiTheme="minorHAnsi" w:hAnsiTheme="minorHAnsi" w:cstheme="minorHAnsi"/>
          <w:sz w:val="22"/>
          <w:lang w:val="en-GB"/>
        </w:rPr>
        <w:t xml:space="preserve">) aims to investigate and characterise further the role of the various dystrophin isoforms in the CNS and evaluate the potential reversibility of the central deficits associated with the lack of dystrophin. In this context, we are using the exon52-deleted </w:t>
      </w:r>
      <w:r w:rsidRPr="00941C6B">
        <w:rPr>
          <w:rFonts w:asciiTheme="minorHAnsi" w:hAnsiTheme="minorHAnsi" w:cstheme="minorHAnsi"/>
          <w:i/>
          <w:sz w:val="22"/>
          <w:lang w:val="en-GB"/>
        </w:rPr>
        <w:t>mdx52</w:t>
      </w:r>
      <w:r w:rsidRPr="00941C6B">
        <w:rPr>
          <w:rFonts w:asciiTheme="minorHAnsi" w:hAnsiTheme="minorHAnsi" w:cstheme="minorHAnsi"/>
          <w:sz w:val="22"/>
          <w:lang w:val="en-GB"/>
        </w:rPr>
        <w:t xml:space="preserve"> mouse model of DMD </w:t>
      </w:r>
      <w:r w:rsidRPr="00941C6B">
        <w:rPr>
          <w:rFonts w:asciiTheme="minorHAnsi" w:hAnsiTheme="minorHAnsi" w:cstheme="minorHAnsi"/>
          <w:b/>
          <w:sz w:val="22"/>
          <w:lang w:val="en-GB"/>
        </w:rPr>
        <w:fldChar w:fldCharType="begin"/>
      </w:r>
      <w:r w:rsidRPr="00941C6B">
        <w:rPr>
          <w:rFonts w:asciiTheme="minorHAnsi" w:hAnsiTheme="minorHAnsi" w:cstheme="minorHAnsi"/>
          <w:sz w:val="22"/>
          <w:lang w:val="en-GB"/>
        </w:rPr>
        <w:instrText xml:space="preserve"> ADDIN ZOTERO_ITEM CSL_CITATION {"citationID":"CRYEGWI2","properties":{"formattedCitation":"\\super 11\\nosupersub{}","plainCitation":"11","noteIndex":0},"citationItems":[{"id":5053,"uris":["http://zotero.org/users/local/yyfzeTvR/items/7IEJSXUS"],"itemData":{"id":5053,"type":"article-journal","abstract":"Duchenne muscular dystrophy (DMD) is a degenerative disorder of the skeletal muscle in human and is caused by mutations in the dystrophin gene. The mdx mouse is a spontaneous mutant and an animal model for DMD. It has a point mutation in exon 23 of the dystrophin gene that eliminates the expression of dystrophin. However, this mutation does not disrupt the expression of four other shorter isoforms that are also expressed from the dystrophin gene through differential promoter usage. We generated another mutant mouse by gene targeting. Exon 52 of the dystrophin gene was disrupted, because the deletion of this exon is known to result in the DMD phenotype in human. In this mouse (mdx52), Dp140 and Dp260, shorter dystrophin isoforms, were absent in addition to dystrophin. The skeletal muscles were hypertrophic and the histology exhibited variations in the fiber size with a necrotic and regenerating process. This mouse is thus considered to represent another model for DMD.","container-title":"Biochemical and Biophysical Research Communications","DOI":"10.1006/bbrc.1997.7328","ISSN":"0006-291X","issue":"2","journalAbbreviation":"Biochem Biophys Res Commun","language":"eng","note":"PMID: 9299538","page":"492-497","source":"PubMed","title":"Targeted disruption of exon 52 in the mouse dystrophin gene induced muscle degeneration similar to that observed in Duchenne muscular dystrophy","volume":"238","author":[{"family":"Araki","given":"E."},{"family":"Nakamura","given":"K."},{"family":"Nakao","given":"K."},{"family":"Kameya","given":"S."},{"family":"Kobayashi","given":"O."},{"family":"Nonaka","given":"I."},{"family":"Kobayashi","given":"T."},{"family":"Katsuki","given":"M."}],"issued":{"date-parts":[["1997",9,18]]}}}],"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11</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as this mutation is located in a “hot spot” region that is frequently mutated in DMD patients </w:t>
      </w:r>
      <w:r w:rsidRPr="00941C6B">
        <w:rPr>
          <w:rFonts w:asciiTheme="minorHAnsi" w:hAnsiTheme="minorHAnsi" w:cstheme="minorHAnsi"/>
          <w:sz w:val="22"/>
          <w:lang w:val="en-GB"/>
        </w:rPr>
        <w:fldChar w:fldCharType="begin"/>
      </w:r>
      <w:r w:rsidRPr="00941C6B">
        <w:rPr>
          <w:rFonts w:asciiTheme="minorHAnsi" w:hAnsiTheme="minorHAnsi" w:cstheme="minorHAnsi"/>
          <w:sz w:val="22"/>
          <w:lang w:val="en-GB"/>
        </w:rPr>
        <w:instrText xml:space="preserve"> ADDIN ZOTERO_ITEM CSL_CITATION {"citationID":"IPVmYmGK","properties":{"formattedCitation":"\\super 10,12,13\\nosupersub{}","plainCitation":"10,12,13","noteIndex":0},"citationItems":[{"id":5172,"uris":["http://zotero.org/users/local/yyfzeTvR/items/RPHQFSXF"],"itemData":{"id":5172,"type":"article-journal","abstract":"AIM: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H."},{"family":"Muntoni","given":"Francesco"}],"issued":{"date-parts":[["2016",1]]}}},{"id":5621,"uris":["http://zotero.org/users/local/yyfzeTvR/items/BMZW6ZA5"],"itemData":{"id":5621,"type":"article-journal","abstract":"OBJECTIVE: To evaluate through a comprehensive protocol, the psychopathological profile of DMD boys. The primary aim of this observational study was to describe the emotional and behavioural profile and the neurodevelopmental problems of Italian boys with Duchenne Muscular Dystrophy (DMD); the secondary aim was to explore the relation between psychopathological profile and DMD genotype.\nMETHOD: 47 DMD boys, aged 2-18, were included in the study and assessed through structured and validated tools including Wechsler scales or Griffiths for cognitive ability, Child Behavior Check List (CBCL), Youth Self Report (YSR) and Strengths and Difficulties Questionnaire (SDQ) for emotional and behavioural features. Patients \"at risk\" based on questionnaires scores were evaluated by a clinical structured interview using Development and Well Being Assessment (DAWBA) or Autism Diagnostic Observation Schedule (ADOS), as required.\nRESULTS: The 47 enrolled patients, defined with a Full Scale Intelligence Quotient (FSIQ) of 80.38 (one SD below average), and presenting a large and significant difference in FSIQ in relation to the site of mutation along the dystrophin gene (distal mutations associated with a more severe cognitive deficit), were showing Internalizing Problems (23.4%) and Autism Spectrum Disorders (14.8%). Interestingly, an association of internalizing problems with distal deletion of the DMD gene is documented.\nCONCLUSION: Even though preliminary, these data show that the use of validated clinical instruments, that focus on the impact of emotional/behaviour problems on everyday life, allows to carefully identify clinically significant psychopathology.","container-title":"European journal of paediatric neurology: EJPN: official journal of the European Paediatric Neurology Society","DOI":"10.1016/j.ejpn.2017.02.007","ISSN":"1532-2130","issue":"4","journalAbbreviation":"Eur J Paediatr Neurol","language":"eng","note":"PMID: 28392227","page":"639-647","source":"PubMed","title":"Assessing mental health in boys with Duchenne muscular dystrophy: Emotional, behavioural and neurodevelopmental profile in an Italian clinical sample","title-short":"Assessing mental health in boys with Duchenne muscular dystrophy","volume":"21","author":[{"family":"Colombo","given":"Paola"},{"family":"Nobile","given":"Maria"},{"family":"Tesei","given":"Alessandra"},{"family":"Civati","given":"Federica"},{"family":"Gandossini","given":"Sandra"},{"family":"Mani","given":"Elisa"},{"family":"Molteni","given":"Massimo"},{"family":"Bresolin","given":"Nereo"},{"family":"D'Angelo","given":"Grazia"}],"issued":{"date-parts":[["2017",7]]}}},{"id":5190,"uris":["http://zotero.org/users/local/yyfzeTvR/items/ZUA2L4RJ"],"itemData":{"id":5190,"type":"article-journal","abstract":"BACKGROUND: A significant component of the variation in cognitive disability that is observed in Duchenne muscular dystrophy (DMD) is known to be under genetic regulation. In this study we report correlations between standardised measures of intelligence and mutational class, mutation size, mutation location and the involvement of dystrophin isoforms.\nMETHODS AND RESULTS: Sixty two male subjects were recruited as part of a study of the cognitive spectrum in boys with DMD conducted at the Sydney Children's Hospital (SCH). All 62 children received neuropsychological testing from a single clinical psychologist and had a defined dystrophin gene (DMD) mutation; including DMD gene deletions, duplications and DNA point mutations. Full Scale Intelligence Quotients (FSIQ) in unrelated subjects with the same mutation were found to be highly correlated (r = 0.83, p = 0.0008), in contrast to results in previous publications. In 58 cases (94%) it was possible to definitively assign a mutation as affecting one or more dystrophin isoforms. A strong association between the risk of cognitive disability and the involvement of groups of DMD isoforms was found. In particular, improvements in the correlation of FSIQ with mutation location were identified when a new classification system for mutations affecting the Dp140 isoform was implemented.\nSIGNIFICANCE: These data represent one of the largest studies of FSIQ and mutational data in DMD patients and is among the first to report on a DMD cohort which has had both comprehensive mutational analysis and FSIQ testing through a single referral centre. The correlation between FSIQ results with the location of the dystrophin gene mutation suggests that the risk of cognitive deficit is a result of the cumulative loss of central nervous system (CNS) expressed dystrophin isoforms, and that correct classification of isoform involvement results in improved estimates of risk.","container-title":"PloS One","DOI":"10.1371/journal.pone.0008803","ISSN":"1932-6203","issue":"1","journalAbbreviation":"PLoS One","language":"eng","note":"PMID: 20098710\nPMCID: PMC2808359","page":"e8803","source":"PubMed","title":"Dystrophin gene mutation location and the risk of cognitive impairment in Duchenne muscular dystrophy","volume":"5","author":[{"family":"Taylor","given":"Peter J."},{"family":"Betts","given":"Grant A."},{"family":"Maroulis","given":"Sarah"},{"family":"Gilissen","given":"Christian"},{"family":"Pedersen","given":"Robyn L."},{"family":"Mowat","given":"David R."},{"family":"Johnston","given":"Heather M."},{"family":"Buckley","given":"Michael F."}],"issued":{"date-parts":[["2010",1,20]]}}}],"schema":"https://github.com/citation-style-language/schema/raw/master/csl-citation.json"} </w:instrText>
      </w:r>
      <w:r w:rsidRPr="00941C6B">
        <w:rPr>
          <w:rFonts w:asciiTheme="minorHAnsi" w:hAnsiTheme="minorHAnsi" w:cstheme="minorHAnsi"/>
          <w:sz w:val="22"/>
          <w:lang w:val="en-GB"/>
        </w:rPr>
        <w:fldChar w:fldCharType="separate"/>
      </w:r>
      <w:r w:rsidRPr="00941C6B">
        <w:rPr>
          <w:rFonts w:asciiTheme="minorHAnsi" w:hAnsiTheme="minorHAnsi" w:cstheme="minorHAnsi"/>
          <w:sz w:val="22"/>
          <w:vertAlign w:val="superscript"/>
        </w:rPr>
        <w:t>10,12,13</w:t>
      </w:r>
      <w:r w:rsidRPr="00941C6B">
        <w:rPr>
          <w:rFonts w:asciiTheme="minorHAnsi" w:hAnsiTheme="minorHAnsi" w:cstheme="minorHAnsi"/>
          <w:sz w:val="22"/>
        </w:rPr>
        <w:fldChar w:fldCharType="end"/>
      </w:r>
      <w:r w:rsidRPr="00941C6B">
        <w:rPr>
          <w:rFonts w:asciiTheme="minorHAnsi" w:hAnsiTheme="minorHAnsi" w:cstheme="minorHAnsi"/>
          <w:sz w:val="22"/>
          <w:lang w:val="en-GB"/>
        </w:rPr>
        <w:t xml:space="preserve">. </w:t>
      </w:r>
      <w:r w:rsidRPr="00941C6B">
        <w:rPr>
          <w:rFonts w:asciiTheme="minorHAnsi" w:hAnsiTheme="minorHAnsi" w:cstheme="minorHAnsi"/>
          <w:bCs/>
          <w:sz w:val="22"/>
        </w:rPr>
        <w:t xml:space="preserve">We previously showed that </w:t>
      </w:r>
      <w:r w:rsidRPr="00941C6B">
        <w:rPr>
          <w:rFonts w:asciiTheme="minorHAnsi" w:hAnsiTheme="minorHAnsi" w:cstheme="minorHAnsi"/>
          <w:bCs/>
          <w:i/>
          <w:sz w:val="22"/>
        </w:rPr>
        <w:t>mdx52</w:t>
      </w:r>
      <w:r w:rsidRPr="00941C6B">
        <w:rPr>
          <w:rFonts w:asciiTheme="minorHAnsi" w:hAnsiTheme="minorHAnsi" w:cstheme="minorHAnsi"/>
          <w:bCs/>
          <w:sz w:val="22"/>
        </w:rPr>
        <w:t xml:space="preserve"> mice, lacking Dp427, Dp260 and Dp140 display enhanced anxiety and fearfulness, and impaired associative fear learning as compared to the original Dp427 deficient-</w:t>
      </w:r>
      <w:r w:rsidRPr="00941C6B">
        <w:rPr>
          <w:rFonts w:asciiTheme="minorHAnsi" w:hAnsiTheme="minorHAnsi" w:cstheme="minorHAnsi"/>
          <w:bCs/>
          <w:i/>
          <w:sz w:val="22"/>
        </w:rPr>
        <w:t>mdx</w:t>
      </w:r>
      <w:r w:rsidRPr="00941C6B">
        <w:rPr>
          <w:rFonts w:asciiTheme="minorHAnsi" w:hAnsiTheme="minorHAnsi" w:cstheme="minorHAnsi"/>
          <w:bCs/>
          <w:sz w:val="22"/>
        </w:rPr>
        <w:t xml:space="preserve"> mouse model.</w:t>
      </w:r>
      <w:r w:rsidRPr="00941C6B">
        <w:rPr>
          <w:rFonts w:asciiTheme="minorHAnsi" w:hAnsiTheme="minorHAnsi" w:cstheme="minorHAnsi"/>
          <w:bCs/>
          <w:sz w:val="22"/>
        </w:rPr>
        <w:fldChar w:fldCharType="begin"/>
      </w:r>
      <w:r w:rsidRPr="00941C6B">
        <w:rPr>
          <w:rFonts w:asciiTheme="minorHAnsi" w:hAnsiTheme="minorHAnsi" w:cstheme="minorHAnsi"/>
          <w:bCs/>
          <w:sz w:val="22"/>
        </w:rPr>
        <w:instrText xml:space="preserve"> ADDIN ZOTERO_ITEM CSL_CITATION {"citationID":"MA3LONXF","properties":{"formattedCitation":"\\super 14\\nosupersub{}","plainCitation":"14","noteIndex":0},"citationItems":[{"id":5586,"uris":["http://zotero.org/users/local/yyfzeTvR/items/X8TQKE3H"],"itemData":{"id":5586,"type":"article-journal","abstract":"The exon-52-deleted mdx52 mouse is a critical model of Duchenne muscular dystrophy (DMD), as it features a deletion in a hotspot region of the DMD gene, frequently mutated in patients. Deletion of exon 52 impedes expression of several brain dystrophins (Dp427, Dp260 and Dp140), thus providing a key model for studying the cognitive impairment associated with DMD and testing rescuing strategies. Here, using in vivo magnetic resonance imaging and neurohistology, we found no gross brain abnormalities in mdx52 mice, suggesting that the neural dysfunctions in this model are likely at the level of brain cellular functionalities. Then, we investigated emotional behavior and fear learning performance of mdx52 mice compared to mdx mice that only lack Dp427 to focus on behavioral phenotypes that could be used in future comparative preclinical studies. mdx52 mice displayed enhanced anxiety and a severe impairment in learning an amygdala-dependent Pavlovian association. These replicable behavioral outcome measures are reminiscent of the internalizing problems reported in a quarter of DMD patients, and will be useful for preclinical estimation of the efficacy of treatments targeting brain dysfunctions in DMD.","container-title":"Disease Models &amp; Mechanisms","DOI":"10.1242/dmm.049028","ISSN":"1754-8411","issue":"9","journalAbbreviation":"Dis Model Mech","language":"eng","note":"PMID: 34546327\nPMCID: PMC8476816","page":"dmm049028","source":"PubMed","title":"Emotional behavior and brain anatomy of the mdx52 mouse model of Duchenne muscular dystrophy","volume":"14","author":[{"family":"Saoudi","given":"Amel"},{"family":"Zarrouki","given":"Faouzi"},{"family":"Sebrié","given":"Catherine"},{"family":"Izabelle","given":"Charlotte"},{"family":"Goyenvalle","given":"Aurélie"},{"family":"Vaillend","given":"Cyrille"}],"issued":{"date-parts":[["2021",9,1]]}}}],"schema":"https://github.com/citation-style-language/schema/raw/master/csl-citation.json"} </w:instrText>
      </w:r>
      <w:r w:rsidRPr="00941C6B">
        <w:rPr>
          <w:rFonts w:asciiTheme="minorHAnsi" w:hAnsiTheme="minorHAnsi" w:cstheme="minorHAnsi"/>
          <w:bCs/>
          <w:sz w:val="22"/>
        </w:rPr>
        <w:fldChar w:fldCharType="separate"/>
      </w:r>
      <w:r w:rsidRPr="00941C6B">
        <w:rPr>
          <w:rFonts w:asciiTheme="minorHAnsi" w:hAnsiTheme="minorHAnsi" w:cstheme="minorHAnsi"/>
          <w:sz w:val="22"/>
          <w:vertAlign w:val="superscript"/>
        </w:rPr>
        <w:t>14</w:t>
      </w:r>
      <w:r w:rsidRPr="00941C6B">
        <w:rPr>
          <w:rFonts w:asciiTheme="minorHAnsi" w:hAnsiTheme="minorHAnsi" w:cstheme="minorHAnsi"/>
          <w:sz w:val="22"/>
          <w:lang w:val="en-GB"/>
        </w:rPr>
        <w:fldChar w:fldCharType="end"/>
      </w:r>
      <w:r w:rsidRPr="00941C6B">
        <w:rPr>
          <w:rFonts w:asciiTheme="minorHAnsi" w:hAnsiTheme="minorHAnsi" w:cstheme="minorHAnsi"/>
          <w:bCs/>
          <w:sz w:val="22"/>
        </w:rPr>
        <w:t xml:space="preserve"> The development of therapeutic approaches in this mouse model is thus of great interest, as it directly translates to patients’ condition.</w:t>
      </w:r>
      <w:r w:rsidRPr="00941C6B">
        <w:rPr>
          <w:rFonts w:asciiTheme="minorHAnsi" w:hAnsiTheme="minorHAnsi" w:cstheme="minorHAnsi"/>
          <w:sz w:val="22"/>
          <w:lang w:val="en-GB"/>
        </w:rPr>
        <w:t xml:space="preserve"> As part of our investigations, we first aimed to optimize the administration route to achieve high and widespread delivery of ASOs in the CNS of DMD mouse models.</w:t>
      </w:r>
    </w:p>
    <w:p w14:paraId="03CC629B" w14:textId="10A28353" w:rsidR="00537349" w:rsidRPr="00941C6B" w:rsidRDefault="00537349" w:rsidP="00537349">
      <w:pPr>
        <w:pStyle w:val="MDPI31text"/>
        <w:ind w:left="0"/>
        <w:rPr>
          <w:rFonts w:asciiTheme="minorHAnsi" w:hAnsiTheme="minorHAnsi" w:cstheme="minorHAnsi"/>
          <w:b/>
          <w:sz w:val="22"/>
          <w:lang w:val="en-GB"/>
        </w:rPr>
      </w:pPr>
      <w:r w:rsidRPr="00941C6B">
        <w:rPr>
          <w:rFonts w:asciiTheme="minorHAnsi" w:hAnsiTheme="minorHAnsi" w:cstheme="minorHAnsi"/>
          <w:sz w:val="22"/>
          <w:lang w:val="en-GB"/>
        </w:rPr>
        <w:t xml:space="preserve">Considering that systemic delivery of ASO requires high doses and results in very low efficacy in the CNS, mostly due to the inability of oligonucleotides to efficiently cross the blood–brain barrier (BBB), we focused on local delivery to the CNS. One of the most common delivery method to the CNS is administration to the cerebrospinal fluid (CSF) </w:t>
      </w:r>
      <w:r w:rsidRPr="00941C6B">
        <w:rPr>
          <w:rFonts w:asciiTheme="minorHAnsi" w:hAnsiTheme="minorHAnsi" w:cstheme="minorHAnsi"/>
          <w:b/>
          <w:sz w:val="22"/>
          <w:lang w:val="en-GB"/>
        </w:rPr>
        <w:fldChar w:fldCharType="begin"/>
      </w:r>
      <w:r w:rsidRPr="00941C6B">
        <w:rPr>
          <w:rFonts w:asciiTheme="minorHAnsi" w:hAnsiTheme="minorHAnsi" w:cstheme="minorHAnsi"/>
          <w:sz w:val="22"/>
          <w:lang w:val="en-GB"/>
        </w:rPr>
        <w:instrText xml:space="preserve"> ADDIN ZOTERO_ITEM CSL_CITATION {"citationID":"Trsy6z8s","properties":{"formattedCitation":"\\super 15,16\\nosupersub{}","plainCitation":"15,16","noteIndex":0},"citationItems":[{"id":5728,"uris":["http://zotero.org/users/local/yyfzeTvR/items/ZK53Q6NM"],"itemData":{"id":5728,"type":"article-journal","abstract":"Alternative splicing of the ryanodine receptor subtype 3 (RyR3) produces a short isoform (RyR3S) able to negatively regulate the ryanodine receptor subtype 2 (RyR2), as shown in cultured smooth muscle cells from mice. The RyR2 subtype has a crucial role in the control of vascular reactivity via the fine tuning of Ca2+ signaling to regulate cerebral vascular tone. In this study, we have shown that the inhibition of RyR3S expression by a specific antisense oligonucleotide (asRyR3S) was able to increase the Ca2+ signals implicating RyR2 in cerebral arteries ex vivo. Moreover, we tried to inhibit the expression of RyR3S in vivo. The asRyR3S was complexed with JetPEI and injected intravenously coupled with several methods known to induce a blood brain barrier disruption. We tested solutions to induce osmotic choc (mannitol), inflammation (bacteria lipopolysaccharide and pertussis toxin), vasoconstriction or dilatation (sumatriptan, phenylephrine, histamine), CD73 activation (NECA) and lipid instability (Tween80). All tested technics failed to target asRyR3 in the cerebral arteries wall, whereas the molecule was included in hepatocytes or cardiomyocytes. Our results showed that the RyR3 alternative splicing could have a function in cerebral arteries ex vivo; however, the disruption of the blood brain barrier could not induce the internalization of antisense oligonucleotides in the cerebral arteries, in order to prove the function of RYR3 short isoform in vivo.","container-title":"European Journal of Pharmacology","DOI":"10.1016/j.ejphar.2014.11.027","ISSN":"0014-2999","journalAbbreviation":"European Journal of Pharmacology","language":"en","page":"141-149","source":"ScienceDirect","title":"Blood brain barrier precludes the cerebral arteries to intravenously-injected antisense oligonucleotide","volume":"747","author":[{"family":"Boursereau","given":"Raphael"},{"family":"Donadieu","given":"Arnaud"},{"family":"Dabertrand","given":"Fabrice"},{"family":"Dubayle","given":"David"},{"family":"Morel","given":"Jean-Luc"}],"issued":{"date-parts":[["2015",1,15]]}}},{"id":5729,"uris":["http://zotero.org/users/local/yyfzeTvR/items/FVK3S3XS"],"itemData":{"id":5729,"type":"article-journal","abstract":"While neurodegenerative diseases and cancers are on the rise, treatments for diseases of the central nervous system (CNS) remain limited. The blood brain barrier (BBB) poses the greatest challenge to CNS drug delivery and has therefore been a primary focus in the development of novel CNS drug delivery techniques. Limitations set by the BBB include molecule size, polarity, substrate specificity, and active efflux mechanisms. Strategies to overcome these challenges include drug delivery systems in conjunction with other chemical and physical targeting or BBB disruption mechanisms. This review outlines and describes the recent strategies employed to overcome challenges of drug delivery to the CNS while providing insight into promising techniques for future work.","collection-title":"SI: North America Part II","container-title":"Journal of Controlled Release","DOI":"10.1016/j.jconrel.2015.12.041","ISSN":"0168-3659","journalAbbreviation":"Journal of Controlled Release","language":"en","page":"251-266","source":"ScienceDirect","title":"Concepts, technologies, and practices for drug delivery past the blood–brain barrier to the central nervous system","volume":"240","author":[{"family":"Crawford","given":"Lindsey"},{"family":"Rosch","given":"Justin"},{"family":"Putnam","given":"David"}],"issued":{"date-parts":[["2016",10,28]]}}}],"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15,16</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CSF continuously flows in cerebral ventricles, the subarachnoid, </w:t>
      </w:r>
      <w:proofErr w:type="spellStart"/>
      <w:r w:rsidRPr="00941C6B">
        <w:rPr>
          <w:rFonts w:asciiTheme="minorHAnsi" w:hAnsiTheme="minorHAnsi" w:cstheme="minorHAnsi"/>
          <w:sz w:val="22"/>
          <w:lang w:val="en-GB"/>
        </w:rPr>
        <w:t>cisternal</w:t>
      </w:r>
      <w:proofErr w:type="spellEnd"/>
      <w:r w:rsidRPr="00941C6B">
        <w:rPr>
          <w:rFonts w:asciiTheme="minorHAnsi" w:hAnsiTheme="minorHAnsi" w:cstheme="minorHAnsi"/>
          <w:sz w:val="22"/>
          <w:lang w:val="en-GB"/>
        </w:rPr>
        <w:t xml:space="preserve"> spaces and the spinal canal. Its direct contact with the CNS makes it an ideal delivery route to achieve widespread distribution to the CNS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{"citationID":"ZrkLzOlh","properties":{"formattedCitation":"\\super 17\\nosupersub{}","plainCitation":"17","noteIndex":0},"citationItems":[{"id":"1hUfqaya/UKhIBqz8","uris":["http://zotero.org/users/4458352/items/8XM3KSSL"],"itemData":{"id":3774,"type":"article-journal","abstract":"Although universally recognized as the source of cerebrospinal fluid (CSF), the choroid plexus (ChP) has been one of the most understudied tissues in neuroscience. The reasons for this are multiple and varied, including historical perceptions about passive and permissive roles for the ChP, experimental issues, and lack of clinical salience. However, recent work on the ChP and instructive signals in the CSF have sparked new hypotheses about how the ChP and CSF provide unexpected means for regulating nervous system structure and function in health and disease, as well as new ChP-based therapeutic approaches using pluripotent stem cell technology. This minisymposium combines new and established investigators to capture some of the newfound excitement surrounding the ChP-CSF system.","container-title":"The Journal of Neuroscience: The Official Journal of the Society for Neuroscience","DOI":"10.1523/JNEUROSCI.3258-13.2013","ISSN":"1529-2401","issue":"45","journalAbbreviation":"J Neurosci","language":"eng","note":"PMID: 24198345\nPMCID: PMC3818536","page":"17553-17559","source":"PubMed","title":"The choroid plexus and cerebrospinal fluid: emerging roles in development, disease, and therapy","title-short":"The choroid plexus and cerebrospinal fluid","volume":"33","author":[{"family":"Lehtinen","given":"Maria K."},{"family":"Bjornsson","given":"Christopher S."},{"family":"Dymecki","given":"Susan M."},{"family":"Gilbertson","given":"Richard J."},{"family":"Holtzman","given":"David M."},{"family":"Monuki","given":"Edwin S."}],"issued":{"date-parts":[["2013",11,6]]}}}],"schema":"https://github.com/citation-style-language/schema/raw/master/csl-citation.json"}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17</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although different regions are targeted with different efficiency. CSF delivery can be achieved </w:t>
      </w:r>
      <w:r w:rsidRPr="00941C6B">
        <w:rPr>
          <w:rFonts w:asciiTheme="minorHAnsi" w:hAnsiTheme="minorHAnsi" w:cstheme="minorHAnsi"/>
          <w:i/>
          <w:iCs/>
          <w:sz w:val="22"/>
          <w:lang w:val="en-GB"/>
        </w:rPr>
        <w:t>via</w:t>
      </w:r>
      <w:r w:rsidRPr="00941C6B">
        <w:rPr>
          <w:rFonts w:asciiTheme="minorHAnsi" w:hAnsiTheme="minorHAnsi" w:cstheme="minorHAnsi"/>
          <w:sz w:val="22"/>
          <w:lang w:val="en-GB"/>
        </w:rPr>
        <w:t xml:space="preserve"> injection into the cerebral ventricles, the lumbar intrathecal space, or the </w:t>
      </w:r>
      <w:r w:rsidRPr="00941C6B">
        <w:rPr>
          <w:rFonts w:asciiTheme="minorHAnsi" w:hAnsiTheme="minorHAnsi" w:cstheme="minorHAnsi"/>
          <w:i/>
          <w:iCs/>
          <w:sz w:val="22"/>
          <w:lang w:val="en-GB"/>
        </w:rPr>
        <w:t>cisterna magna</w:t>
      </w:r>
      <w:r w:rsidRPr="00941C6B">
        <w:rPr>
          <w:rFonts w:asciiTheme="minorHAnsi" w:hAnsiTheme="minorHAnsi" w:cstheme="minorHAnsi"/>
          <w:sz w:val="22"/>
          <w:lang w:val="en-GB"/>
        </w:rPr>
        <w:t xml:space="preserve">. The most commonly used delivery route to the CSF, in particular for rodents, is </w:t>
      </w:r>
      <w:r w:rsidRPr="00941C6B">
        <w:rPr>
          <w:rFonts w:asciiTheme="minorHAnsi" w:hAnsiTheme="minorHAnsi" w:cstheme="minorHAnsi"/>
          <w:i/>
          <w:iCs/>
          <w:sz w:val="22"/>
          <w:lang w:val="en-GB"/>
        </w:rPr>
        <w:t>via</w:t>
      </w:r>
      <w:r w:rsidRPr="00941C6B">
        <w:rPr>
          <w:rFonts w:asciiTheme="minorHAnsi" w:hAnsiTheme="minorHAnsi" w:cstheme="minorHAnsi"/>
          <w:sz w:val="22"/>
          <w:lang w:val="en-GB"/>
        </w:rPr>
        <w:t xml:space="preserve"> </w:t>
      </w:r>
      <w:proofErr w:type="spellStart"/>
      <w:r w:rsidRPr="00941C6B">
        <w:rPr>
          <w:rFonts w:asciiTheme="minorHAnsi" w:hAnsiTheme="minorHAnsi" w:cstheme="minorHAnsi"/>
          <w:sz w:val="22"/>
          <w:lang w:val="en-GB"/>
        </w:rPr>
        <w:t>intracerebroventricular</w:t>
      </w:r>
      <w:proofErr w:type="spellEnd"/>
      <w:r w:rsidRPr="00941C6B">
        <w:rPr>
          <w:rFonts w:asciiTheme="minorHAnsi" w:hAnsiTheme="minorHAnsi" w:cstheme="minorHAnsi"/>
          <w:sz w:val="22"/>
          <w:lang w:val="en-GB"/>
        </w:rPr>
        <w:t xml:space="preserve"> (ICV) injection based on specific stereotaxic coordinates </w:t>
      </w:r>
      <w:r w:rsidRPr="00941C6B">
        <w:rPr>
          <w:rFonts w:asciiTheme="minorHAnsi" w:hAnsiTheme="minorHAnsi" w:cstheme="minorHAnsi"/>
          <w:b/>
          <w:sz w:val="22"/>
          <w:lang w:val="en-GB"/>
        </w:rPr>
        <w:fldChar w:fldCharType="begin"/>
      </w:r>
      <w:r w:rsidRPr="00941C6B">
        <w:rPr>
          <w:rFonts w:asciiTheme="minorHAnsi" w:hAnsiTheme="minorHAnsi" w:cstheme="minorHAnsi"/>
          <w:sz w:val="22"/>
          <w:lang w:val="en-GB"/>
        </w:rPr>
        <w:instrText xml:space="preserve"> ADDIN ZOTERO_ITEM CSL_CITATION {"citationID":"DbnaHPRt","properties":{"formattedCitation":"\\super 18\\nosupersub{}","plainCitation":"18","noteIndex":0},"citationItems":[{"id":5742,"uris":["http://zotero.org/users/local/yyfzeTvR/items/WK4ZGZ62"],"itemData":{"id":5742,"type":"webpage","title":"Paxinos and Franklin's the Mouse Brain in Stereotaxic Coordinates, Compact - 5th Edition","URL":"https://www.elsevier.com/books/paxinos-and-franklins-the-mouse-brain-in-stereotaxic-coordinates-compact/franklin/978-0-12-816159-3","author":[{"family":"Paxinos","given":""},{"family":"Franklin","given":""}],"accessed":{"date-parts":[["2022",10,14]]},"issued":{"date-parts":[["2003"]]}}}],"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18</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On the other hand, intrathecal (IT) delivery </w:t>
      </w:r>
      <w:r w:rsidRPr="00941C6B">
        <w:rPr>
          <w:rFonts w:asciiTheme="minorHAnsi" w:hAnsiTheme="minorHAnsi" w:cstheme="minorHAnsi"/>
          <w:i/>
          <w:iCs/>
          <w:sz w:val="22"/>
          <w:lang w:val="en-GB"/>
        </w:rPr>
        <w:t>via</w:t>
      </w:r>
      <w:r w:rsidRPr="00941C6B">
        <w:rPr>
          <w:rFonts w:asciiTheme="minorHAnsi" w:hAnsiTheme="minorHAnsi" w:cstheme="minorHAnsi"/>
          <w:sz w:val="22"/>
          <w:lang w:val="en-GB"/>
        </w:rPr>
        <w:t xml:space="preserve"> lumbar puncture is a convenient delivery strategy not only because it does not require a stereotaxic set up but also because of ease of access and minimal </w:t>
      </w:r>
      <w:r w:rsidRPr="00941C6B">
        <w:rPr>
          <w:rFonts w:asciiTheme="minorHAnsi" w:hAnsiTheme="minorHAnsi" w:cstheme="minorHAnsi"/>
          <w:sz w:val="22"/>
          <w:lang w:val="en-GB"/>
        </w:rPr>
        <w:lastRenderedPageBreak/>
        <w:t xml:space="preserve">invasiveness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{"citationID":"1c93j9r4","properties":{"unsorted":true,"formattedCitation":"\\super 19\\uc0\\u8211{}21\\nosupersub{}","plainCitation":"19–21","noteIndex":0},"citationItems":[{"id":5747,"uris":["http://zotero.org/users/local/yyfzeTvR/items/NWWJI2QL"],"itemData":{"id":5747,"type":"article-journal","abstract":"BACKGROUND: Mutations in SOD1 cause 13% of familial amyotrophic lateral sclerosis. In the SOD1 Gly93Ala rat model of amyotrophic lateral sclerosis, the antisense oligonucleotide ISIS 333611 delivered to CSF decreased SOD1 mRNA and protein concentrations in spinal cord tissue and prolonged survival. We aimed to assess the safety, tolerability, and pharmacokinetics of ISIS 333611 after intrathecal administration in patients with SOD1-related familial amyotrophic lateral sclerosis.\nMETHODS: In this randomised, placebo-controlled, phase 1 trial, we delivered ISIS 333611 by intrathecal infusion using an external pump over 11·5 h at increasing doses (0·15 mg, 0·50 mg, 1·50 mg, 3·00 mg) to four cohorts of eight patients with SOD1-positive amyotrophic lateral sclerosis (six patients assigned to ISIS 333611, two to placebo in each cohort). We did the randomisation with a web-based system, assigning patients in blocks of four. Patients and investigators were masked to treatment assignment. Participants were allowed to re-enrol in subsequent cohorts. Our primary objective was to assess the safety and tolerability of ISIS 333611. Assessments were done during infusion and over 28 days after infusion. This study was registered with Clinicaltrials.gov, number NCT01041222.\nFINDINGS: Seven of eight (88%) patients in the placebo group versus 20 of 24 (83%) in the ISIS 333611 group had adverse events. The most common events were post-lumbar puncture syndrome (3/8 [38%] vs 8/24 [33%]), back pain (4/8 [50%] vs 4/24 [17%]), and nausea (0/8 [0%] vs 3/24 [13%]). We recorded no dose-limiting toxic effects or any safety or tolerability concerns related to ISIS 333611. No serious adverse events occurred in patients given ISIS 333611. Re-enrolment and re-treatment were also well tolerated.\nINTERPRETATION: This trial is the first clinical study of intrathecal delivery of an antisense oligonucleotide. ISIS 333611 was well tolerated when administered as an intrathecal infusion. Antisense oligonucleotides delivered to the CNS might be a feasible treatment for neurological disorders.\nFUNDING: The ALS Association, Muscular Dystrophy Association, Isis Pharmaceuticals.","container-title":"The Lancet. Neurology","DOI":"10.1016/S1474-4422(13)70061-9","ISSN":"1474-4465","issue":"5","journalAbbreviation":"Lancet Neurol","language":"eng","note":"PMID: 23541756\nPMCID: PMC3712285","page":"435-442","source":"PubMed","title":"An antisense oligonucleotide against SOD1 delivered intrathecally for patients with SOD1 familial amyotrophic lateral sclerosis: a phase 1, randomised, first-in-man study","title-short":"An antisense oligonucleotide against SOD1 delivered intrathecally for patients with SOD1 familial amyotrophic lateral sclerosis","volume":"12","author":[{"family":"Miller","given":"Timothy M."},{"family":"Pestronk","given":"Alan"},{"family":"David","given":"William"},{"family":"Rothstein","given":"Jeffrey"},{"family":"Simpson","given":"Ericka"},{"family":"Appel","given":"Stanley H."},{"family":"Andres","given":"Patricia L."},{"family":"Mahoney","given":"Katy"},{"family":"Allred","given":"Peggy"},{"family":"Alexander","given":"Katie"},{"family":"Ostrow","given":"Lyle W."},{"family":"Schoenfeld","given":"David"},{"family":"Macklin","given":"Eric A."},{"family":"Norris","given":"Daniel A."},{"family":"Manousakis","given":"Georgios"},{"family":"Crisp","given":"Matthew"},{"family":"Smith","given":"Richard"},{"family":"Bennett","given":"C. Frank"},{"family":"Bishop","given":"Kathie M."},{"family":"Cudkowicz","given":"Merit E."}],"issued":{"date-parts":[["2013",5]]}}},{"id":5750,"uris":["http://zotero.org/users/local/yyfzeTvR/items/HQQC2TGQ"],"itemData":{"id":5750,"type":"article-journal","abstract":"BACKGROUND: Spinal deformity and prior spinal fusion pose technical challenges to lumbar puncture (LP) for nusinersen administration for patients with spinal muscular atrophy (SMA). In this retrospective study over two study phases, we evaluated (1) factors associated with difficult LP or unscheduled requirement for image guidance and (2) effectiveness of a triage pathway for selective use of image guidance and nonstandard techniques, particularly for patients with spinal instrumentation/fusion to the sacrum.\nMETHODS: With institutional review board approval, electronic health records, imaging, and administrative databases were analyzed for patients receiving nusinersen from January 2012 through September 2021. Descriptive statistics and univariate analyses were used.\nRESULTS: From January 2012 to March 2018 (phase 1), among 82 patients with SMA, 461 of 464 (99.4%) LP attempts were successful. Univariate analyses associated difficulty with prior spinal instrumentation, higher body mass index, and severity of the spinal deformity. Based on this experience, starting in April 2018 (phase 2), 125 patients were triaged selectively for ultrasound, fluoroscopy, or Dyna computed tomography. Patients with spinal instrumentation/fusion to the sacrum were treated primarily via intrathecal ports (137 doses) or transforaminal LP (55 doses). From April 2018 through September 2021, 704 of 709 (99.3%) LPs were successful. In total from January 2012 to September 2021, 1415 doses were administered. Over 50% of LPs were performed by neurology nurse practitioners without image guidance. Safety outcomes were excellent.\nCONCLUSIONS: A stratified approach resulted in successful intrathecal nusinersen delivery and efficient resource allocation for patients with SMA, with or without complex spinal anatomy.","container-title":"Pediatric Neurology","DOI":"10.1016/j.pediatrneurol.2022.04.008","ISSN":"1873-5150","journalAbbreviation":"Pediatr Neurol","language":"eng","note":"PMID: 35636280","page":"33-40","source":"PubMed","title":"Nusinersen for Patients With Spinal Muscular Atrophy: 1415 Doses via an Interdisciplinary Institutional Approach","title-short":"Nusinersen for Patients With Spinal Muscular Atrophy","volume":"132","author":[{"family":"Madan","given":"Elena"},{"family":"Carrié","given":"Sabrina"},{"family":"Donado","given":"Carolina"},{"family":"Lobo","given":"Kimberly"},{"family":"Souris","given":"Michelle"},{"family":"Laine","given":"Regina"},{"family":"Beers","given":"Elizabeth"},{"family":"Cornelissen","given":"Laura"},{"family":"Darras","given":"Basil T."},{"family":"Koka","given":"Anjali"},{"family":"Riley","given":"Bobbie"},{"family":"Dinakar","given":"Pradeep"},{"family":"Stone","given":"Scellig"},{"family":"Snyder","given":"Brian"},{"family":"Graham","given":"Robert J."},{"family":"Padua","given":"Horacio"},{"family":"Sethna","given":"Navil"},{"family":"Berde","given":"Charles"}],"issued":{"date-parts":[["2022",7]]}}},{"id":"1hUfqaya/li4qBhzg","uris":["http://zotero.org/users/4458352/items/DR6TIGN6"],"itemData":{"id":3768,"type":"article-journal","abstract":"Therapeutic oligonucleotides hold tremendous potential for treating central nervous system (CNS) disorders. The route of administration of oligonucleotides significantly impacts both distribution and silencing efficiency. Here, we describe a technically simple, clinically relevant method to administer oligonucleotide compounds into the CNS via direct intrathecal injections. This method achieves distribution throughout the CNS rapidly and permits high-throughput testing of oligonucleotide efficacy and potency in mammals.","container-title":"Methods in Molecular Biology (Clifton, N.J.)","DOI":"10.1007/978-1-0716-2010-6_24","ISSN":"1940-6029","journalAbbreviation":"Methods Mol Biol","language":"eng","note":"PMID: 35213030","page":"345-353","source":"PubMed","title":"Intrathecal Delivery of Therapeutic Oligonucleotides for Potent Modulation of Gene Expression in the Central Nervous System","volume":"2434","author":[{"family":"Kennedy","given":"Zachary"},{"family":"Gilbert","given":"James W."},{"family":"Godinho","given":"Bruno M. D. C."}],"issued":{"date-parts":[["2022"]]}}}],"schema":"https://github.com/citation-style-language/schema/raw/master/csl-citation.json"}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19–21</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This method results in efficient drug distribution to the spinal cord in animal models and patients and is successfully used in the clinic for the administration of the ASO </w:t>
      </w:r>
      <w:proofErr w:type="spellStart"/>
      <w:r w:rsidRPr="00941C6B">
        <w:rPr>
          <w:rFonts w:asciiTheme="minorHAnsi" w:hAnsiTheme="minorHAnsi" w:cstheme="minorHAnsi"/>
          <w:sz w:val="22"/>
          <w:lang w:val="en-GB"/>
        </w:rPr>
        <w:t>Nusinersen</w:t>
      </w:r>
      <w:proofErr w:type="spellEnd"/>
      <w:r w:rsidRPr="00941C6B">
        <w:rPr>
          <w:rFonts w:asciiTheme="minorHAnsi" w:hAnsiTheme="minorHAnsi" w:cstheme="minorHAnsi"/>
          <w:sz w:val="22"/>
          <w:lang w:val="en-GB"/>
        </w:rPr>
        <w:t xml:space="preserve"> to SMA patients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{"citationID":"qpJgJWJ6","properties":{"formattedCitation":"\\super 22\\nosupersub{}","plainCitation":"22","noteIndex":0},"citationItems":[{"id":"1hUfqaya/y1y1eYjq","uris":["http://zotero.org/users/4458352/items/GLA7E9K6"],"itemData":{"id":2038,"type":"article-journal","abstract":"BACKGROUND: Nusinersen is a 2'-O-methoxyethyl phosphorothioate-modified antisense drug being developed to treat spinal muscular atrophy. Nusinersen is specifically designed to alter splicing of SMN2 pre-mRNA and thus increase the amount of functional survival motor neuron (SMN) protein that is deficient in patients with spinal muscular atrophy.\nMETHODS: This open-label, phase 2, escalating dose clinical study assessed the safety and tolerability, pharmacokinetics, and clinical efficacy of multiple intrathecal doses of nusinersen (6 mg and 12 mg dose equivalents) in patients with infantile-onset spinal muscular atrophy. Eligible participants were of either gender aged between 3 weeks and 7 months old with onset of spinal muscular atrophy symptoms between 3 weeks and 6 months, who had SMN1 homozygous gene deletion or mutation. Safety assessments included adverse events, physical and neurological examinations, vital signs, clinical laboratory tests, cerebrospinal fluid laboratory tests, and electrocardiographs. Clinical efficacy assessments included event free survival, and change from baseline of two assessments of motor function: the motor milestones portion of the Hammersmith Infant Neurological Exam-Part 2 (HINE-2) and the Children's Hospital of Philadelphia Infant Test of Neuromuscular Disorders (CHOP-INTEND) motor function test, and compound motor action potentials. Autopsy tissue was analysed for target engagement, drug concentrations, and pharmacological activity. HINE-2, CHOP-INTEND, and compound motor action potential were compared between baseline and last visit using the Wilcoxon signed-rank test. Age at death or permanent ventilation was compared with natural history using the log-rank test. The study is registered at ClinicalTrials.gov, number NCT01839656.\nFINDINGS: 20 participants were enrolled between May 3, 2013, and July 9, 2014, and assessed through to an interim analysis done on Jan 26, 2016. All participants experienced adverse events, with 77 serious adverse events reported in 16 participants, all considered by study investigators not related or unlikely related to the study drug. In the 12 mg dose group, incremental achievements of motor milestones (p&lt;0·0001), improvements in CHOP-INTEND motor function scores (p=0·0013), and increased compound muscle action potential amplitude of the ulnar nerve (p=0·0103) and peroneal nerve (p&lt;0·0001), compared with baseline, were observed. Median age at death or permanent ventilation was not reached and the Kaplan-Meier survival curve diverged from a published natural history case series (p=0·0014). Analysis of autopsy tissue from patients exposed to nusinersen showed drug uptake into motor neurons throughout the spinal cord and neurons and other cell types in the brainstem and other brain regions, exposure at therapeutic concentrations, and increased SMN2 mRNA exon 7 inclusion and SMN protein concentrations in the spinal cord.\nINTERPRETATION: Administration of multiple intrathecal doses of nusinersen showed acceptable safety and tolerability, pharmacology consistent with its intended mechanism of action, and encouraging clinical efficacy. Results informed the design of an ongoing, sham-controlled, phase 3 clinical study of nusinersen in infantile-onset spinal muscular atrophy.\nFUNDING: Ionis Pharmaceuticals, Inc and Biogen.","container-title":"Lancet (London, England)","DOI":"10.1016/S0140-6736(16)31408-8","ISSN":"1474-547X","issue":"10063","journalAbbreviation":"Lancet","language":"eng","note":"PMID: 27939059","page":"3017-3026","source":"PubMed","title":"Treatment of infantile-onset spinal muscular atrophy with nusinersen: a phase 2, open-label, dose-escalation study","title-short":"Treatment of infantile-onset spinal muscular atrophy with nusinersen","volume":"388","author":[{"family":"Finkel","given":"Richard S."},{"family":"Chiriboga","given":"Claudia A."},{"family":"Vajsar","given":"Jiri"},{"family":"Day","given":"John W."},{"family":"Montes","given":"Jacqueline"},{"family":"De Vivo","given":"Darryl C."},{"family":"Yamashita","given":"Mason"},{"family":"Rigo","given":"Frank"},{"family":"Hung","given":"Gene"},{"family":"Schneider","given":"Eugene"},{"family":"Norris","given":"Daniel A."},{"family":"Xia","given":"Shuting"},{"family":"Bennett","given":"C. Frank"},{"family":"Bishop","given":"Kathie M."}],"issued":{"date-parts":[["2016"]],"season":"17"}}}],"schema":"https://github.com/citation-style-language/schema/raw/master/csl-citation.json"}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22</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However, preclinical data in animal models also suggest that lumbar intrathecal delivery results in limited distribution to the </w:t>
      </w:r>
      <w:proofErr w:type="spellStart"/>
      <w:r w:rsidRPr="00941C6B">
        <w:rPr>
          <w:rFonts w:asciiTheme="minorHAnsi" w:hAnsiTheme="minorHAnsi" w:cstheme="minorHAnsi"/>
          <w:sz w:val="22"/>
          <w:lang w:val="en-GB"/>
        </w:rPr>
        <w:t>supratentorial</w:t>
      </w:r>
      <w:proofErr w:type="spellEnd"/>
      <w:r w:rsidRPr="00941C6B">
        <w:rPr>
          <w:rFonts w:asciiTheme="minorHAnsi" w:hAnsiTheme="minorHAnsi" w:cstheme="minorHAnsi"/>
          <w:sz w:val="22"/>
          <w:lang w:val="en-GB"/>
        </w:rPr>
        <w:t xml:space="preserve"> brain structures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{"citationID":"oxNvjiC7","properties":{"formattedCitation":"\\super 23\\nosupersub{}","plainCitation":"23","noteIndex":0},"citationItems":[{"id":"1hUfqaya/eU7ydXqD","uris":["http://zotero.org/users/4458352/items/ZW5E9ZD2"],"itemData":{"id":3777,"type":"article-journal","abstract":"Gene therapy clinical trials for neurological disorders are ongoing using intrathecal injection of adeno-associated virus (AAV) vector directly into the cerebral spinal fluid. Preliminary findings from these trials and results from extensive animal studies provides compelling data supporting the safety and benefit of intrathecal delivery of AAV vectors for inherited neurological disorders. Intrathecal delivery can be achieved by a lumbar puncture (LP) or intracisterna magna (ICM) injection, although ICM is not commonly used in clinical practice due to increased procedural risk. Few studies directly compared these delivery methods and there are limited reports on transduction of the PNS. To further test the utility of ICM or LP delivery for neuropathies, we performed a head to head comparison of AAV serotype 9 (AAV9) vectors expressing GFP injected into the cisterna magna or lumbar subarachnoid space in mice. We report that an intrathecal gene delivery of AAV9 in mice leads to stable transduction of neurons and glia in the brain and spinal cord and has a widespread distribution that includes components of the PNS. Vector expression was notably higher in select brain and PNS regions following ICM injection, while higher amounts of vector was found in the lower spinal cord and peripheral organs following LP injection. These findings support that intrathecal AAV9 delivery is a translationally relevant delivery method for inherited neuropathies.","container-title":"Brain Research","DOI":"10.1016/j.brainres.2020.146832","ISSN":"1872-6240","journalAbbreviation":"Brain Res","language":"eng","note":"PMID: 32289279\nPMCID: PMC7997047","page":"146832","source":"PubMed","title":"Comparison of high-dose intracisterna magna and lumbar puncture intrathecal delivery of AAV9 in mice to treat neuropathies","volume":"1739","author":[{"family":"Bailey","given":"Rachel M."},{"family":"Rozenberg","given":"Alejandra"},{"family":"Gray","given":"Steven J."}],"issued":{"date-parts":[["2020",7,15]]}}}],"schema":"https://github.com/citation-style-language/schema/raw/master/csl-citation.json"}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23</w:t>
      </w:r>
      <w:r w:rsidRPr="00941C6B">
        <w:rPr>
          <w:rFonts w:asciiTheme="minorHAnsi" w:hAnsiTheme="minorHAnsi" w:cstheme="minorHAnsi"/>
          <w:b/>
          <w:sz w:val="22"/>
        </w:rPr>
        <w:fldChar w:fldCharType="end"/>
      </w:r>
      <w:r w:rsidRPr="00941C6B">
        <w:rPr>
          <w:rFonts w:asciiTheme="minorHAnsi" w:hAnsiTheme="minorHAnsi" w:cstheme="minorHAnsi"/>
          <w:sz w:val="22"/>
        </w:rPr>
        <w:t xml:space="preserve"> that are the target for DMD therapies</w:t>
      </w:r>
      <w:r w:rsidRPr="00941C6B">
        <w:rPr>
          <w:rFonts w:asciiTheme="minorHAnsi" w:hAnsiTheme="minorHAnsi" w:cstheme="minorHAnsi"/>
          <w:sz w:val="22"/>
          <w:lang w:val="en-GB"/>
        </w:rPr>
        <w:t xml:space="preserve">. As an alternative to lumbar delivery, administration into the </w:t>
      </w:r>
      <w:r w:rsidRPr="00941C6B">
        <w:rPr>
          <w:rFonts w:asciiTheme="minorHAnsi" w:hAnsiTheme="minorHAnsi" w:cstheme="minorHAnsi"/>
          <w:i/>
          <w:iCs/>
          <w:sz w:val="22"/>
          <w:lang w:val="en-GB"/>
        </w:rPr>
        <w:t>cisterna magna</w:t>
      </w:r>
      <w:r w:rsidRPr="00941C6B">
        <w:rPr>
          <w:rFonts w:asciiTheme="minorHAnsi" w:hAnsiTheme="minorHAnsi" w:cstheme="minorHAnsi"/>
          <w:sz w:val="22"/>
          <w:lang w:val="en-GB"/>
        </w:rPr>
        <w:t xml:space="preserve"> has been used in animal models to achieve delivery closer to brain structures. This method has resulted in widespread distribution to the cerebellum, hindbrain and spinal cord in mice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{"citationID":"uiEPe0yM","properties":{"formattedCitation":"\\super 23\\nosupersub{}","plainCitation":"23","noteIndex":0},"citationItems":[{"id":"1hUfqaya/eU7ydXqD","uris":["http://zotero.org/users/4458352/items/ZW5E9ZD2"],"itemData":{"id":3777,"type":"article-journal","abstract":"Gene therapy clinical trials for neurological disorders are ongoing using intrathecal injection of adeno-associated virus (AAV) vector directly into the cerebral spinal fluid. Preliminary findings from these trials and results from extensive animal studies provides compelling data supporting the safety and benefit of intrathecal delivery of AAV vectors for inherited neurological disorders. Intrathecal delivery can be achieved by a lumbar puncture (LP) or intracisterna magna (ICM) injection, although ICM is not commonly used in clinical practice due to increased procedural risk. Few studies directly compared these delivery methods and there are limited reports on transduction of the PNS. To further test the utility of ICM or LP delivery for neuropathies, we performed a head to head comparison of AAV serotype 9 (AAV9) vectors expressing GFP injected into the cisterna magna or lumbar subarachnoid space in mice. We report that an intrathecal gene delivery of AAV9 in mice leads to stable transduction of neurons and glia in the brain and spinal cord and has a widespread distribution that includes components of the PNS. Vector expression was notably higher in select brain and PNS regions following ICM injection, while higher amounts of vector was found in the lower spinal cord and peripheral organs following LP injection. These findings support that intrathecal AAV9 delivery is a translationally relevant delivery method for inherited neuropathies.","container-title":"Brain Research","DOI":"10.1016/j.brainres.2020.146832","ISSN":"1872-6240","journalAbbreviation":"Brain Res","language":"eng","note":"PMID: 32289279\nPMCID: PMC7997047","page":"146832","source":"PubMed","title":"Comparison of high-dose intracisterna magna and lumbar puncture intrathecal delivery of AAV9 in mice to treat neuropathies","volume":"1739","author":[{"family":"Bailey","given":"Rachel M."},{"family":"Rozenberg","given":"Alejandra"},{"family":"Gray","given":"Steven J."}],"issued":{"date-parts":[["2020",7,15]]}}}],"schema":"https://github.com/citation-style-language/schema/raw/master/csl-citation.json"}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23</w:t>
      </w:r>
      <w:r w:rsidRPr="00941C6B">
        <w:rPr>
          <w:rFonts w:asciiTheme="minorHAnsi" w:hAnsiTheme="minorHAnsi" w:cstheme="minorHAnsi"/>
          <w:b/>
          <w:sz w:val="22"/>
        </w:rPr>
        <w:fldChar w:fldCharType="end"/>
      </w:r>
      <w:r w:rsidRPr="00941C6B">
        <w:rPr>
          <w:rFonts w:asciiTheme="minorHAnsi" w:hAnsiTheme="minorHAnsi" w:cstheme="minorHAnsi"/>
          <w:sz w:val="22"/>
          <w:lang w:val="en-GB"/>
        </w:rPr>
        <w:t>.</w:t>
      </w:r>
    </w:p>
    <w:p w14:paraId="52EF7BCC" w14:textId="77777777" w:rsidR="00537349" w:rsidRPr="00941C6B" w:rsidRDefault="00537349" w:rsidP="00537349">
      <w:pPr>
        <w:pStyle w:val="MDPI31text"/>
        <w:ind w:left="0"/>
        <w:rPr>
          <w:rFonts w:asciiTheme="minorHAnsi" w:hAnsiTheme="minorHAnsi" w:cstheme="minorHAnsi"/>
          <w:b/>
          <w:sz w:val="22"/>
          <w:lang w:val="en-GB"/>
        </w:rPr>
      </w:pPr>
      <w:r w:rsidRPr="00941C6B">
        <w:rPr>
          <w:rFonts w:asciiTheme="minorHAnsi" w:hAnsiTheme="minorHAnsi" w:cstheme="minorHAnsi"/>
          <w:sz w:val="22"/>
          <w:lang w:val="en-GB"/>
        </w:rPr>
        <w:t xml:space="preserve">In the present study, we aimed to optimize ASO efficacy in the CNS, to reach the highest possible exon skipping levels in brain regions known to express dystrophin such as the cerebellum, hippocampus, and cortex. We therefore evaluated different delivery methods, in particular ICV and ICM (intra-cisterna magna) using various injection regimens. Notably, we compared unilateral </w:t>
      </w:r>
      <w:r w:rsidRPr="00941C6B">
        <w:rPr>
          <w:rFonts w:asciiTheme="minorHAnsi" w:hAnsiTheme="minorHAnsi" w:cstheme="minorHAnsi"/>
          <w:i/>
          <w:iCs/>
          <w:sz w:val="22"/>
          <w:lang w:val="en-GB"/>
        </w:rPr>
        <w:t>vs</w:t>
      </w:r>
      <w:r w:rsidRPr="00941C6B">
        <w:rPr>
          <w:rFonts w:asciiTheme="minorHAnsi" w:hAnsiTheme="minorHAnsi" w:cstheme="minorHAnsi"/>
          <w:sz w:val="22"/>
          <w:lang w:val="en-GB"/>
        </w:rPr>
        <w:t xml:space="preserve"> bilateral ICV injections, bolus </w:t>
      </w:r>
      <w:r w:rsidRPr="00941C6B">
        <w:rPr>
          <w:rFonts w:asciiTheme="minorHAnsi" w:hAnsiTheme="minorHAnsi" w:cstheme="minorHAnsi"/>
          <w:i/>
          <w:iCs/>
          <w:sz w:val="22"/>
          <w:lang w:val="en-GB"/>
        </w:rPr>
        <w:t>vs</w:t>
      </w:r>
      <w:r w:rsidRPr="00941C6B">
        <w:rPr>
          <w:rFonts w:asciiTheme="minorHAnsi" w:hAnsiTheme="minorHAnsi" w:cstheme="minorHAnsi"/>
          <w:sz w:val="22"/>
          <w:lang w:val="en-GB"/>
        </w:rPr>
        <w:t xml:space="preserve"> slow</w:t>
      </w:r>
      <w:r w:rsidRPr="00941C6B" w:rsidDel="00DD482D">
        <w:rPr>
          <w:rFonts w:asciiTheme="minorHAnsi" w:hAnsiTheme="minorHAnsi" w:cstheme="minorHAnsi"/>
          <w:sz w:val="22"/>
          <w:lang w:val="en-GB"/>
        </w:rPr>
        <w:t xml:space="preserve"> </w:t>
      </w:r>
      <w:r w:rsidRPr="00941C6B">
        <w:rPr>
          <w:rFonts w:asciiTheme="minorHAnsi" w:hAnsiTheme="minorHAnsi" w:cstheme="minorHAnsi"/>
          <w:sz w:val="22"/>
          <w:lang w:val="en-GB"/>
        </w:rPr>
        <w:t xml:space="preserve">rate of injection as well as repeated administration of ASO using a cannula and continuous administration using osmotic pumps. Finally, we studied the feasibility and resulting effects of combining both ICM and ICV delivery methods. </w:t>
      </w:r>
    </w:p>
    <w:p w14:paraId="486D1062" w14:textId="7D52FD68" w:rsidR="00537349" w:rsidRPr="00941C6B" w:rsidRDefault="00537349" w:rsidP="00537349">
      <w:pPr>
        <w:pStyle w:val="MDPI31text"/>
        <w:ind w:left="0"/>
        <w:rPr>
          <w:rFonts w:asciiTheme="minorHAnsi" w:hAnsiTheme="minorHAnsi" w:cstheme="minorHAnsi"/>
          <w:b/>
          <w:sz w:val="22"/>
          <w:lang w:val="en-GB"/>
        </w:rPr>
      </w:pPr>
      <w:r w:rsidRPr="00941C6B">
        <w:rPr>
          <w:rFonts w:asciiTheme="minorHAnsi" w:hAnsiTheme="minorHAnsi" w:cstheme="minorHAnsi"/>
          <w:sz w:val="22"/>
          <w:lang w:val="en-GB"/>
        </w:rPr>
        <w:t xml:space="preserve">Considering that ASO biodistribution in the CNS may be affected by various factors such as ASO chemistry and charge, we used 2 different chemistries of ASO in this study: </w:t>
      </w:r>
      <w:proofErr w:type="gramStart"/>
      <w:r w:rsidRPr="00941C6B">
        <w:rPr>
          <w:rFonts w:asciiTheme="minorHAnsi" w:hAnsiTheme="minorHAnsi" w:cstheme="minorHAnsi"/>
          <w:sz w:val="22"/>
          <w:lang w:val="en-GB"/>
        </w:rPr>
        <w:t>the</w:t>
      </w:r>
      <w:proofErr w:type="gramEnd"/>
      <w:r w:rsidRPr="00941C6B">
        <w:rPr>
          <w:rFonts w:asciiTheme="minorHAnsi" w:hAnsiTheme="minorHAnsi" w:cstheme="minorHAnsi"/>
          <w:sz w:val="22"/>
          <w:lang w:val="en-GB"/>
        </w:rPr>
        <w:t xml:space="preserve"> </w:t>
      </w:r>
      <w:proofErr w:type="spellStart"/>
      <w:r w:rsidRPr="00941C6B">
        <w:rPr>
          <w:rFonts w:asciiTheme="minorHAnsi" w:hAnsiTheme="minorHAnsi" w:cstheme="minorHAnsi"/>
          <w:sz w:val="22"/>
          <w:lang w:val="en-GB"/>
        </w:rPr>
        <w:t>Phosphorodiamidate</w:t>
      </w:r>
      <w:proofErr w:type="spellEnd"/>
      <w:r w:rsidRPr="00941C6B">
        <w:rPr>
          <w:rFonts w:asciiTheme="minorHAnsi" w:hAnsiTheme="minorHAnsi" w:cstheme="minorHAnsi"/>
          <w:sz w:val="22"/>
          <w:lang w:val="en-GB"/>
        </w:rPr>
        <w:t xml:space="preserve"> </w:t>
      </w:r>
      <w:proofErr w:type="spellStart"/>
      <w:r w:rsidRPr="00941C6B">
        <w:rPr>
          <w:rFonts w:asciiTheme="minorHAnsi" w:hAnsiTheme="minorHAnsi" w:cstheme="minorHAnsi"/>
          <w:sz w:val="22"/>
          <w:lang w:val="en-GB"/>
        </w:rPr>
        <w:t>Morpholino</w:t>
      </w:r>
      <w:proofErr w:type="spellEnd"/>
      <w:r w:rsidRPr="00941C6B">
        <w:rPr>
          <w:rFonts w:asciiTheme="minorHAnsi" w:hAnsiTheme="minorHAnsi" w:cstheme="minorHAnsi"/>
          <w:sz w:val="22"/>
          <w:lang w:val="en-GB"/>
        </w:rPr>
        <w:t xml:space="preserve"> Oligomer (PMO) chemistry and the </w:t>
      </w:r>
      <w:proofErr w:type="spellStart"/>
      <w:r w:rsidRPr="00941C6B">
        <w:rPr>
          <w:rFonts w:asciiTheme="minorHAnsi" w:hAnsiTheme="minorHAnsi" w:cstheme="minorHAnsi"/>
          <w:sz w:val="22"/>
          <w:lang w:val="en-GB"/>
        </w:rPr>
        <w:t>tricyclo</w:t>
      </w:r>
      <w:proofErr w:type="spellEnd"/>
      <w:r w:rsidRPr="00941C6B">
        <w:rPr>
          <w:rFonts w:asciiTheme="minorHAnsi" w:hAnsiTheme="minorHAnsi" w:cstheme="minorHAnsi"/>
          <w:sz w:val="22"/>
          <w:lang w:val="en-GB"/>
        </w:rPr>
        <w:t xml:space="preserve">-DNA (tcDNA) chemistry. PMOs have a neutral charge and are already approved by the FDA for the systemic treatment of DMD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{"citationID":"DVELrIB6","properties":{"formattedCitation":"\\super 8\\nosupersub{}","plainCitation":"8","noteIndex":0},"citationItems":[{"id":"1hUfqaya/aLgYNXl7","uris":["http://zotero.org/users/4458352/items/MD9T8Z9D"],"itemData":{"id":3218,"type":"article-journal","container-title":"Science (New York, N.Y.)","DOI":"10.1126/science.aba4515","ISSN":"1095-9203","issue":"6524","journalAbbreviation":"Science","language":"eng","note":"PMID: 33384365","page":"29-31","source":"PubMed","title":"RNA-targeted drugs for neuromuscular diseases","volume":"371","author":[{"family":"Ferlini","given":"Alessandra"},{"family":"Goyenvalle","given":"Aurelie"},{"family":"Muntoni","given":"Francesco"}],"issued":{"date-parts":[["2021",1,1]]}}}],"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8</w:t>
      </w:r>
      <w:r w:rsidRPr="00941C6B">
        <w:rPr>
          <w:rFonts w:asciiTheme="minorHAnsi" w:hAnsiTheme="minorHAnsi" w:cstheme="minorHAnsi"/>
          <w:b/>
          <w:sz w:val="22"/>
        </w:rPr>
        <w:fldChar w:fldCharType="end"/>
      </w:r>
      <w:r w:rsidRPr="00941C6B">
        <w:rPr>
          <w:rFonts w:asciiTheme="minorHAnsi" w:hAnsiTheme="minorHAnsi" w:cstheme="minorHAnsi"/>
          <w:sz w:val="22"/>
          <w:lang w:val="en-GB"/>
        </w:rPr>
        <w:t xml:space="preserve">, while tcDNA is a charged, lipid-conjugated ASO that has previously shown therapeutic potential in mouse models of DMD </w:t>
      </w:r>
      <w:r w:rsidRPr="00941C6B">
        <w:rPr>
          <w:rFonts w:asciiTheme="minorHAnsi" w:hAnsiTheme="minorHAnsi" w:cstheme="minorHAnsi"/>
          <w:b/>
          <w:sz w:val="22"/>
          <w:lang w:val="en-GB"/>
        </w:rPr>
        <w:fldChar w:fldCharType="begin"/>
      </w:r>
      <w:r w:rsidR="00644C57">
        <w:rPr>
          <w:rFonts w:asciiTheme="minorHAnsi" w:hAnsiTheme="minorHAnsi" w:cstheme="minorHAnsi"/>
          <w:sz w:val="22"/>
          <w:lang w:val="en-GB"/>
        </w:rPr>
        <w:instrText xml:space="preserve"> ADDIN ZOTERO_ITEM CSL_CITATION {"citationID":"qxR9wvzU","properties":{"formattedCitation":"\\super 24,25\\nosupersub{}","plainCitation":"24,25","noteIndex":0},"citationItems":[{"id":5569,"uris":["http://zotero.org/users/local/yyfzeTvR/items/749KVUBL"],"itemData":{"id":5569,"type":"article-journal","abstract":"Tricyclo-DNA (tcDNA) is a conformationally constrained oligonucleotide analog that has demonstrated great therapeutic potential as antisense oligonucleotide (ASO) for several diseases. Like most ASOs in clinical development, tcDNA were modified with phosphorothioate (PS) backbone for therapeutic purposes in order to improve their biodistribution by enhancing association with plasma and cell protein. Despite the advantageous protein binding properties, systemic delivery of PS-ASO remains limited and PS modifications can result in dose limiting toxicities in the clinic. Improving extra-hepatic delivery of ASO is highly desirable for the treatment of a variety of diseases including neuromuscular disorders such as Duchenne muscular dystrophy. We hypothesized that conjugation of palmitic acid to tcDNA could facilitate the delivery of the ASO from the bloodstream to the interstitium of the muscle tissues. We demonstrate here that palmitic acid conjugation enhances the potency of tcDNA-ASO in skeletal and cardiac muscles, leading to functional improvement in dystrophic mice with significantly reduced dose of administered ASO. Interestingly, palmitic acid-conjugated tcDNA with a full phosphodiester backbone proved effective with a particularly encouraging safety profile, offering new perspectives for the clinical development of PS-free tcDNA-ASO for neuromuscular diseases.","container-title":"Nucleic Acids Research","DOI":"10.1093/nar/gkab1199","ISSN":"1362-4962","issue":"1","journalAbbreviation":"Nucleic Acids Res","language":"eng","note":"PMID: 34893881\nPMCID: PMC8754652","page":"17-34","source":"PubMed","title":"Palmitic acid conjugation enhances potency of tricyclo-DNA splice switching oligonucleotides","volume":"50","author":[{"family":"Relizani","given":"Karima"},{"family":"Echevarría","given":"Lucía"},{"family":"Zarrouki","given":"Faouzi"},{"family":"Gastaldi","given":"Cécile"},{"family":"Dambrune","given":"Chloe"},{"family":"Aupy","given":"Philippine"},{"family":"Haeberli","given":"Adrian"},{"family":"Komisarski","given":"Marek"},{"family":"Tensorer","given":"Thomas"},{"family":"Larcher","given":"Thibaut"},{"family":"Svinartchouk","given":"Fedor"},{"family":"Vaillend","given":"Cyrille"},{"family":"Garcia","given":"Luis"},{"family":"Goyenvalle","given":"Aurélie"}],"issued":{"date-parts":[["2022",1,11]]}}},{"id":"1hUfqaya/YLKuxAHF","uris":["http://zotero.org/users/4458352/items/9EEP6PPL"],"itemData":{"id":3739,"type":"article-journal","abstract":"OBJECTIVES: Duchenne muscular dystrophy is associated with various degrees of cognitive impairment and behavioral disturbances. Emotional and memory deficits also constitute reliable outcome measures to assess efficacy of treatments in the mdx mouse lacking the muscle and neuronal full-length dystrophins. The present study aimed to evaluate whether these deficits could be alleviated by the restoration of brain dystrophin.\nMETHODS: We performed intracerebroventricular administration of a new potent tricyclo-DNA antisense oligonucleotide (tcDNA-ASO) containing a full phosphodiester backbone conjugated to a palmitic acid moiety (tcDNA-ASO), designed to skip the mutated exon 23 of mdx mice.\nRESULTS: We first show that the tcDNA-ASO rescues expression of brain dystrophin to 10-30% of wild-type levels and significantly reduces the abnormal unconditioned fear responses in mdx mice in a dose-dependent manner, 5 weeks post-injection. Exon skipping efficiency, ASO biodistribution, protein restoration and effect on the fear response were optimal with a dose of 400 μg at 6-7 weeks post-injection, with synaptic-like expression in brain tissues such as the hippocampus and amygdala. Furthermore, this dose of tcDNA-ASO restored long-term memory retention of mdx mice in an object recognition task, but only had minor effects on fear conditioning.\nINTERPRETATION: These results suggest for the first time that postnatal re-expression of brain dystrophin could reverse or at least alleviate some cognitive deficits associated with Duchenne muscular dystrophy. ANN NEUROL 2022;92:213-229.","container-title":"Annals of Neurology","DOI":"10.1002/ana.26409","ISSN":"1531-8249","issue":"2","journalAbbreviation":"Ann Neurol","language":"eng","note":"PMID: 35587226","page":"213-229","source":"PubMed","title":"Partial Restoration of Brain Dystrophin and Behavioral Deficits by Exon Skipping in the Muscular Dystrophy X-Linked (mdx) Mouse","volume":"92","author":[{"family":"Zarrouki","given":"Faouzi"},{"family":"Relizani","given":"Karima"},{"family":"Bizot","given":"Flavien"},{"family":"Tensorer","given":"Thomas"},{"family":"Garcia","given":"Luis"},{"family":"Vaillend","given":"Cyrille"},{"family":"Goyenvalle","given":"Aurélie"}],"issued":{"date-parts":[["2022",8]]}}}],"schema":"https://github.com/citation-style-language/schema/raw/master/csl-citation.json"} </w:instrText>
      </w:r>
      <w:r w:rsidRPr="00941C6B">
        <w:rPr>
          <w:rFonts w:asciiTheme="minorHAnsi" w:hAnsiTheme="minorHAnsi" w:cstheme="minorHAnsi"/>
          <w:b/>
          <w:sz w:val="22"/>
          <w:lang w:val="en-GB"/>
        </w:rPr>
        <w:fldChar w:fldCharType="separate"/>
      </w:r>
      <w:r w:rsidRPr="00941C6B">
        <w:rPr>
          <w:rFonts w:asciiTheme="minorHAnsi" w:hAnsiTheme="minorHAnsi" w:cstheme="minorHAnsi"/>
          <w:sz w:val="22"/>
          <w:vertAlign w:val="superscript"/>
        </w:rPr>
        <w:t>24,25</w:t>
      </w:r>
      <w:r w:rsidRPr="00941C6B">
        <w:rPr>
          <w:rFonts w:asciiTheme="minorHAnsi" w:hAnsiTheme="minorHAnsi" w:cstheme="minorHAnsi"/>
          <w:b/>
          <w:sz w:val="22"/>
        </w:rPr>
        <w:fldChar w:fldCharType="end"/>
      </w:r>
      <w:r w:rsidRPr="00941C6B">
        <w:rPr>
          <w:rFonts w:asciiTheme="minorHAnsi" w:hAnsiTheme="minorHAnsi" w:cstheme="minorHAnsi"/>
          <w:sz w:val="22"/>
          <w:lang w:val="en-GB"/>
        </w:rPr>
        <w:t>.  Overall, our detailed comparative study provides useful insights into the local delivery and associated efficacy of ASOs in the CNS of mouse models of DMD.</w:t>
      </w:r>
    </w:p>
    <w:bookmarkEnd w:id="0"/>
    <w:p w14:paraId="1B1A6030" w14:textId="77777777" w:rsidR="00537349" w:rsidRPr="00D2545F" w:rsidRDefault="00537349" w:rsidP="00537349">
      <w:pPr>
        <w:spacing w:after="100"/>
        <w:jc w:val="both"/>
        <w:rPr>
          <w:rFonts w:eastAsia="Times New Roman" w:cstheme="minorHAnsi"/>
          <w:bCs/>
          <w:color w:val="000000"/>
          <w:sz w:val="24"/>
          <w:szCs w:val="24"/>
          <w:lang w:val="en-GB"/>
        </w:rPr>
      </w:pPr>
    </w:p>
    <w:p w14:paraId="6D484360" w14:textId="77777777" w:rsidR="0077683D" w:rsidRPr="00D2545F" w:rsidRDefault="0077683D" w:rsidP="00060725">
      <w:pPr>
        <w:spacing w:after="100"/>
        <w:jc w:val="both"/>
        <w:rPr>
          <w:rFonts w:eastAsia="Times New Roman" w:cstheme="minorHAnsi"/>
          <w:bCs/>
          <w:color w:val="000000"/>
          <w:lang w:val="en-GB"/>
        </w:rPr>
      </w:pPr>
    </w:p>
    <w:p w14:paraId="1AD0FCFD" w14:textId="518A45DF" w:rsidR="00585FE3" w:rsidRPr="00D2545F" w:rsidRDefault="00585FE3" w:rsidP="00060725">
      <w:pPr>
        <w:spacing w:after="100"/>
        <w:jc w:val="both"/>
        <w:rPr>
          <w:rFonts w:eastAsia="Times New Roman" w:cstheme="minorHAnsi"/>
          <w:b/>
          <w:bCs/>
          <w:sz w:val="36"/>
          <w:szCs w:val="36"/>
        </w:rPr>
      </w:pPr>
      <w:r w:rsidRPr="00D2545F">
        <w:rPr>
          <w:rFonts w:eastAsia="Times New Roman" w:cstheme="minorHAnsi"/>
          <w:b/>
          <w:bCs/>
          <w:color w:val="000000"/>
          <w:sz w:val="28"/>
          <w:szCs w:val="28"/>
        </w:rPr>
        <w:t>METHODS*</w:t>
      </w:r>
    </w:p>
    <w:p w14:paraId="5E8630E1"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This section should be used to describe any steps or procedures that produced the data, including full descriptions of the experimental design, data acquisition assays, and any computational processing (e.g., normalization, image feature extraction). Each method should be described under correspondingly named subheading. It is acceptable to cite previous descriptions of the methods under use, but the descriptions should be complete enough for others to understand and reproduce the methods and processing steps without reading the associated publications. There is no word limit to the length of this section.</w:t>
      </w:r>
    </w:p>
    <w:p w14:paraId="023084A3" w14:textId="0BD28287" w:rsidR="001233F7" w:rsidRPr="00D2545F" w:rsidRDefault="001233F7" w:rsidP="00585FE3">
      <w:pPr>
        <w:spacing w:after="100"/>
        <w:jc w:val="both"/>
        <w:rPr>
          <w:rFonts w:eastAsia="Times New Roman" w:cstheme="minorHAnsi"/>
          <w:color w:val="000000"/>
        </w:rPr>
      </w:pPr>
      <w:r w:rsidRPr="00D2545F">
        <w:rPr>
          <w:rFonts w:eastAsia="Times New Roman" w:cstheme="minorHAnsi"/>
          <w:color w:val="000000"/>
        </w:rPr>
        <w:t>The methods used to produce the data have been described previous</w:t>
      </w:r>
      <w:commentRangeStart w:id="1"/>
      <w:r w:rsidRPr="00D2545F">
        <w:rPr>
          <w:rFonts w:eastAsia="Times New Roman" w:cstheme="minorHAnsi"/>
          <w:color w:val="000000"/>
        </w:rPr>
        <w:t>ly in</w:t>
      </w:r>
      <w:r w:rsidR="004323DC" w:rsidRPr="00D2545F">
        <w:rPr>
          <w:rFonts w:eastAsia="Times New Roman" w:cstheme="minorHAnsi"/>
          <w:color w:val="000000"/>
        </w:rPr>
        <w:t xml:space="preserve"> </w:t>
      </w:r>
      <w:r w:rsidR="007E7E28" w:rsidRPr="00D2545F">
        <w:rPr>
          <w:rFonts w:eastAsia="Times New Roman" w:cstheme="minorHAnsi"/>
          <w:color w:val="000000"/>
        </w:rPr>
        <w:fldChar w:fldCharType="begin"/>
      </w:r>
      <w:r w:rsidR="00644C57">
        <w:rPr>
          <w:rFonts w:eastAsia="Times New Roman" w:cstheme="minorHAnsi"/>
          <w:color w:val="000000"/>
        </w:rPr>
        <w:instrText xml:space="preserve"> ADDIN ZOTERO_ITEM CSL_CITATION {"citationID":"sTMUXfWe","properties":{"unsorted":true,"formattedCitation":"\\super 25,26\\nosupersub{}","plainCitation":"25,26","noteIndex":0},"citationItems":[{"id":"1hUfqaya/YLKuxAHF","uris":["http://zotero.org/users/4458352/items/9EEP6PPL"],"itemData":{"id":"8sj2qb4H/kB5Xi8rI","type":"article-journal","abstract":"OBJECTIVES: Duchenne muscular dystrophy is associated with various degrees of cognitive impairment and behavioral disturbances. Emotional and memory deficits also constitute reliable outcome measures to assess efficacy of treatments in the mdx mouse lacking the muscle and neuronal full-length dystrophins. The present study aimed to evaluate whether these deficits could be alleviated by the restoration of brain dystrophin.\nMETHODS: We performed intracerebroventricular administration of a new potent tricyclo-DNA antisense oligonucleotide (tcDNA-ASO) containing a full phosphodiester backbone conjugated to a palmitic acid moiety (tcDNA-ASO), designed to skip the mutated exon 23 of mdx mice.\nRESULTS: We first show that the tcDNA-ASO rescues expression of brain dystrophin to 10-30% of wild-type levels and significantly reduces the abnormal unconditioned fear responses in mdx mice in a dose-dependent manner, 5 weeks post-injection. Exon skipping efficiency, ASO biodistribution, protein restoration and effect on the fear response were optimal with a dose of 400 μg at 6-7 weeks post-injection, with synaptic-like expression in brain tissues such as the hippocampus and amygdala. Furthermore, this dose of tcDNA-ASO restored long-term memory retention of mdx mice in an object recognition task, but only had minor effects on fear conditioning.\nINTERPRETATION: These results suggest for the first time that postnatal re-expression of brain dystrophin could reverse or at least alleviate some cognitive deficits associated with Duchenne muscular dystrophy. ANN NEUROL 2022;92:213-229.","container-title":"Annals of Neurology","DOI":"10.1002/ana.26409","ISSN":"1531-8249","issue":"2","journalAbbreviation":"Ann Neurol","language":"eng","note":"PMID: 35587226","page":"213-229","source":"PubMed","title":"Partial Restoration of Brain Dystrophin and Behavioral Deficits by Exon Skipping in the Muscular Dystrophy X-Linked (mdx) Mouse","volume":"92","author":[{"family":"Zarrouki","given":"Faouzi"},{"family":"Relizani","given":"Karima"},{"family":"Bizot","given":"Flavien"},{"family":"Tensorer","given":"Thomas"},{"family":"Garcia","given":"Luis"},{"family":"Vaillend","given":"Cyrille"},{"family":"Goyenvalle","given":"Aurélie"}],"issued":{"date-parts":[["2022",8]]}}},{"id":7048,"uris":["http://zotero.org/users/local/yyfzeTvR/items/YSNXR9GQ"],"itemData":{"id":7048,"type":"article-journal","abstract":"The mdx52 mouse model recapitulates a frequent mutation profile associated with brain involvement in Duchenne muscular dystrophy. Deletion of exon 52 impedes expression of two dystrophins (Dp427, Dp140) expressed in brain, and is eligible for therapeutic exon-skipping strategies. We previously showed that mdx52 mice display enhanced anxiety and fearfulness, and impaired associative fear learning. In this study, we examined the reversibility of these phenotypes using exon 51 skipping to restore exclusively Dp427 expression in the brain of mdx52 mice. We first show that a single intracerebroventricular administration of tricyclo-DNA antisense oligonucleotides targeting exon 51 restores 5%-15% of dystrophin protein expression in the hippocampus, cerebellum, and cortex, at stable levels between 7 and 11 week after injection. Anxiety and unconditioned fear were significantly reduced in treated mdx52 mice and acquisition of fear conditioning appeared fully rescued, while fear memory tested 24 h later was only partially improved. Additional restoration of Dp427 in skeletal and cardiac muscles by systemic treatment did not further improve the unconditioned fear response, confirming the central origin of this phenotype. These findings indicate that some emotional and cognitive deficits associated with dystrophin deficiency may be reversible or at least improved by partial postnatal dystrophin rescue.","container-title":"Molecular Therapy. Nucleic Acids","DOI":"10.1016/j.omtn.2023.03.009","ISSN":"2162-2531","journalAbbreviation":"Mol Ther Nucleic Acids","language":"eng","note":"PMID: 37078061\nPMCID: PMC10106732","page":"173-188","source":"PubMed","title":"Partial restoration of brain dystrophin by tricyclo-DNA antisense oligonucleotides alleviates emotional deficits in mdx52 mice","volume":"32","author":[{"family":"Saoudi","given":"Amel"},{"family":"Barberat","given":"Sacha"},{"family":"Coz","given":"Olivier","non-dropping-particle":"le"},{"family":"Vacca","given":"Ophélie"},{"family":"Doisy Caquant","given":"Mathilde"},{"family":"Tensorer","given":"Thomas"},{"family":"Sliwinski","given":"Eric"},{"family":"Garcia","given":"Luis"},{"family":"Muntoni","given":"Francesco"},{"family":"Vaillend","given":"Cyrille"},{"family":"Goyenvalle","given":"Aurélie"}],"issued":{"date-parts":[["2023",6,13]]}}}],"schema":"https://github.com/citation-style-language/schema/raw/master/csl-citation.json"} </w:instrText>
      </w:r>
      <w:r w:rsidR="007E7E28" w:rsidRPr="00D2545F">
        <w:rPr>
          <w:rFonts w:eastAsia="Times New Roman" w:cstheme="minorHAnsi"/>
          <w:color w:val="000000"/>
        </w:rPr>
        <w:fldChar w:fldCharType="separate"/>
      </w:r>
      <w:r w:rsidR="007E7E28" w:rsidRPr="00D2545F">
        <w:rPr>
          <w:rFonts w:cstheme="minorHAnsi"/>
          <w:szCs w:val="24"/>
          <w:vertAlign w:val="superscript"/>
        </w:rPr>
        <w:t>25,26</w:t>
      </w:r>
      <w:r w:rsidR="007E7E28" w:rsidRPr="00D2545F">
        <w:rPr>
          <w:rFonts w:eastAsia="Times New Roman" w:cstheme="minorHAnsi"/>
          <w:color w:val="000000"/>
        </w:rPr>
        <w:fldChar w:fldCharType="end"/>
      </w:r>
      <w:r w:rsidRPr="00D2545F">
        <w:rPr>
          <w:rFonts w:eastAsia="Times New Roman" w:cstheme="minorHAnsi"/>
          <w:color w:val="000000"/>
        </w:rPr>
        <w:t>:</w:t>
      </w:r>
      <w:commentRangeEnd w:id="1"/>
      <w:r w:rsidR="004323DC" w:rsidRPr="00D2545F">
        <w:rPr>
          <w:rStyle w:val="Marquedecommentaire"/>
          <w:rFonts w:cstheme="minorHAnsi"/>
        </w:rPr>
        <w:commentReference w:id="1"/>
      </w:r>
    </w:p>
    <w:p w14:paraId="1A976B91" w14:textId="77777777" w:rsidR="00195427" w:rsidRPr="00D2545F" w:rsidRDefault="00195427" w:rsidP="00585FE3">
      <w:pPr>
        <w:spacing w:after="100"/>
        <w:jc w:val="both"/>
        <w:rPr>
          <w:rFonts w:eastAsia="Times New Roman" w:cstheme="minorHAnsi"/>
          <w:color w:val="000000"/>
        </w:rPr>
      </w:pPr>
    </w:p>
    <w:p w14:paraId="48727894" w14:textId="1FF804C6" w:rsidR="00166D1E" w:rsidRPr="00D2545F" w:rsidRDefault="00195427" w:rsidP="00195427">
      <w:pPr>
        <w:spacing w:after="100"/>
        <w:rPr>
          <w:rFonts w:cstheme="minorHAnsi"/>
        </w:rPr>
      </w:pPr>
      <w:r w:rsidRPr="00195A90">
        <w:rPr>
          <w:rFonts w:cstheme="minorHAnsi"/>
        </w:rPr>
        <w:t xml:space="preserve">Zarrouki, F., Relizani, K., Bizot, F., Tensorer, T., Garcia, L., Vaillend, C., &amp; Goyenvalle, A. (2022). </w:t>
      </w:r>
      <w:r w:rsidRPr="00D2545F">
        <w:rPr>
          <w:rFonts w:cstheme="minorHAnsi"/>
        </w:rPr>
        <w:t>Partial Restoration of Brain Dystrophin and Behavioral Deficits by Exon Skipping in the Muscular Dystrophy X-Linked (mdx) Mouse. Annals of neurology, 92(2), 213–229. https://doi-org.proxy.insermbiblio.inist.fr/10.1002/ana.26409</w:t>
      </w:r>
    </w:p>
    <w:p w14:paraId="177C2CC9" w14:textId="77777777" w:rsidR="00195427" w:rsidRPr="00D2545F" w:rsidRDefault="00195427" w:rsidP="00195427">
      <w:pPr>
        <w:spacing w:after="100"/>
        <w:rPr>
          <w:rFonts w:eastAsia="Times New Roman" w:cstheme="minorHAnsi"/>
          <w:color w:val="000000"/>
        </w:rPr>
      </w:pPr>
    </w:p>
    <w:p w14:paraId="341A5541" w14:textId="5D210AE7" w:rsidR="00166D1E" w:rsidRPr="00D2545F" w:rsidRDefault="00166D1E" w:rsidP="00195427">
      <w:pPr>
        <w:spacing w:after="100"/>
        <w:rPr>
          <w:rFonts w:eastAsia="Times New Roman" w:cstheme="minorHAnsi"/>
          <w:color w:val="000000"/>
        </w:rPr>
      </w:pPr>
      <w:r w:rsidRPr="00195A90">
        <w:rPr>
          <w:rFonts w:eastAsia="Times New Roman" w:cstheme="minorHAnsi"/>
          <w:color w:val="000000"/>
        </w:rPr>
        <w:t xml:space="preserve">Saoudi, A., Barberat, S., le Coz, O., Vacca, O., Doisy Caquant, M., Tensorer, T., Sliwinski, E., Garcia, L., Muntoni, F., Vaillend, C., &amp; Goyenvalle, A. (2023). </w:t>
      </w:r>
      <w:r w:rsidRPr="00D2545F">
        <w:rPr>
          <w:rFonts w:eastAsia="Times New Roman" w:cstheme="minorHAnsi"/>
          <w:color w:val="000000"/>
        </w:rPr>
        <w:t xml:space="preserve">Partial restoration of brain dystrophin by </w:t>
      </w:r>
      <w:proofErr w:type="spellStart"/>
      <w:r w:rsidRPr="00D2545F">
        <w:rPr>
          <w:rFonts w:eastAsia="Times New Roman" w:cstheme="minorHAnsi"/>
          <w:color w:val="000000"/>
        </w:rPr>
        <w:t>tricyclo</w:t>
      </w:r>
      <w:proofErr w:type="spellEnd"/>
      <w:r w:rsidRPr="00D2545F">
        <w:rPr>
          <w:rFonts w:eastAsia="Times New Roman" w:cstheme="minorHAnsi"/>
          <w:color w:val="000000"/>
        </w:rPr>
        <w:t xml:space="preserve">-DNA antisense oligonucleotides alleviates emotional deficits in mdx52 mice. Molecular therapy. Nucleic acids, 32, 173–188. </w:t>
      </w:r>
      <w:hyperlink r:id="rId10" w:history="1">
        <w:r w:rsidR="00195427" w:rsidRPr="00D2545F">
          <w:rPr>
            <w:rStyle w:val="Lienhypertexte"/>
            <w:rFonts w:eastAsia="Times New Roman" w:cstheme="minorHAnsi"/>
          </w:rPr>
          <w:t>https://doi-org.proxy.insermbiblio.inist.fr/10.1016/j.omtn.2023.03.009</w:t>
        </w:r>
      </w:hyperlink>
    </w:p>
    <w:p w14:paraId="46532A1E" w14:textId="77777777" w:rsidR="00195427" w:rsidRPr="00D2545F" w:rsidRDefault="00195427" w:rsidP="00195427">
      <w:pPr>
        <w:spacing w:after="100"/>
        <w:rPr>
          <w:rFonts w:eastAsia="Times New Roman" w:cstheme="minorHAnsi"/>
          <w:color w:val="000000"/>
        </w:rPr>
      </w:pPr>
    </w:p>
    <w:p w14:paraId="7C20B712" w14:textId="77777777" w:rsidR="0077683D" w:rsidRDefault="0077683D" w:rsidP="00585FE3">
      <w:pPr>
        <w:spacing w:after="100"/>
        <w:jc w:val="both"/>
        <w:rPr>
          <w:rFonts w:eastAsia="Times New Roman" w:cstheme="minorHAnsi"/>
          <w:color w:val="000000"/>
        </w:rPr>
      </w:pPr>
    </w:p>
    <w:p w14:paraId="488625E2" w14:textId="77777777" w:rsidR="00941C6B" w:rsidRDefault="00941C6B" w:rsidP="00585FE3">
      <w:pPr>
        <w:spacing w:after="100"/>
        <w:jc w:val="both"/>
        <w:rPr>
          <w:rFonts w:eastAsia="Times New Roman" w:cstheme="minorHAnsi"/>
          <w:color w:val="000000"/>
        </w:rPr>
      </w:pPr>
    </w:p>
    <w:p w14:paraId="01A983B3" w14:textId="77777777" w:rsidR="00941C6B" w:rsidRPr="00D2545F" w:rsidRDefault="00941C6B" w:rsidP="00585FE3">
      <w:pPr>
        <w:spacing w:after="100"/>
        <w:jc w:val="both"/>
        <w:rPr>
          <w:rFonts w:eastAsia="Times New Roman" w:cstheme="minorHAnsi"/>
          <w:color w:val="000000"/>
        </w:rPr>
      </w:pPr>
    </w:p>
    <w:p w14:paraId="1FA8D106" w14:textId="77777777" w:rsidR="00644C57" w:rsidRPr="00851960" w:rsidRDefault="00644C57" w:rsidP="00644C57">
      <w:pPr>
        <w:spacing w:after="100"/>
        <w:jc w:val="both"/>
        <w:rPr>
          <w:rFonts w:eastAsia="Times New Roman" w:cstheme="minorHAnsi"/>
          <w:color w:val="000000"/>
        </w:rPr>
      </w:pPr>
      <w:r w:rsidRPr="00851960">
        <w:rPr>
          <w:rFonts w:eastAsia="Times New Roman" w:cstheme="minorHAnsi"/>
          <w:b/>
          <w:color w:val="000000"/>
          <w:u w:val="single"/>
        </w:rPr>
        <w:lastRenderedPageBreak/>
        <w:t>Experimental design study ICV</w:t>
      </w:r>
      <w:r w:rsidRPr="00851960">
        <w:rPr>
          <w:rFonts w:eastAsia="Times New Roman" w:cstheme="minorHAnsi"/>
          <w:color w:val="000000"/>
        </w:rPr>
        <w:t>:</w:t>
      </w:r>
    </w:p>
    <w:p w14:paraId="2A6784DC" w14:textId="151D8A12" w:rsidR="00644C57" w:rsidRPr="00851960"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Adult (6-8-wks old) male </w:t>
      </w:r>
      <w:r w:rsidRPr="00851960">
        <w:rPr>
          <w:rFonts w:eastAsia="Times New Roman" w:cstheme="minorHAnsi"/>
          <w:i/>
          <w:color w:val="000000"/>
        </w:rPr>
        <w:t>mdx52</w:t>
      </w:r>
      <w:r w:rsidRPr="00851960">
        <w:rPr>
          <w:rFonts w:eastAsia="Times New Roman" w:cstheme="minorHAnsi"/>
          <w:color w:val="000000"/>
        </w:rPr>
        <w:t xml:space="preserve"> mice received an </w:t>
      </w:r>
      <w:proofErr w:type="spellStart"/>
      <w:r w:rsidRPr="00851960">
        <w:rPr>
          <w:rFonts w:eastAsia="Times New Roman" w:cstheme="minorHAnsi"/>
          <w:color w:val="000000"/>
        </w:rPr>
        <w:t>intracerebroventricular</w:t>
      </w:r>
      <w:proofErr w:type="spellEnd"/>
      <w:r w:rsidRPr="00851960">
        <w:rPr>
          <w:rFonts w:eastAsia="Times New Roman" w:cstheme="minorHAnsi"/>
          <w:color w:val="000000"/>
        </w:rPr>
        <w:t xml:space="preserve"> (ICV) injection of 400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tcDNA-ASO targeting exon 51 (group</w:t>
      </w:r>
      <w:r w:rsidR="00782E91">
        <w:rPr>
          <w:rFonts w:eastAsia="Times New Roman" w:cstheme="minorHAnsi"/>
          <w:color w:val="000000"/>
        </w:rPr>
        <w:t xml:space="preserve"> ICV</w:t>
      </w:r>
      <w:r>
        <w:rPr>
          <w:rFonts w:eastAsia="Times New Roman" w:cstheme="minorHAnsi"/>
          <w:color w:val="000000"/>
        </w:rPr>
        <w:t xml:space="preserve"> tcDNA-Ex51</w:t>
      </w:r>
      <w:r w:rsidRPr="00851960">
        <w:rPr>
          <w:rFonts w:eastAsia="Times New Roman" w:cstheme="minorHAnsi"/>
          <w:color w:val="000000"/>
        </w:rPr>
        <w:t>, n=5, mouse ID: T01-T</w:t>
      </w:r>
      <w:r>
        <w:rPr>
          <w:rFonts w:eastAsia="Times New Roman" w:cstheme="minorHAnsi"/>
          <w:color w:val="000000"/>
        </w:rPr>
        <w:t>0</w:t>
      </w:r>
      <w:r w:rsidRPr="00851960">
        <w:rPr>
          <w:rFonts w:eastAsia="Times New Roman" w:cstheme="minorHAnsi"/>
          <w:color w:val="000000"/>
        </w:rPr>
        <w:t>5) or saline control (group</w:t>
      </w:r>
      <w:r>
        <w:rPr>
          <w:rFonts w:eastAsia="Times New Roman" w:cstheme="minorHAnsi"/>
          <w:color w:val="000000"/>
        </w:rPr>
        <w:t xml:space="preserve"> </w:t>
      </w:r>
      <w:r w:rsidRPr="00851960">
        <w:rPr>
          <w:rFonts w:eastAsia="Times New Roman" w:cstheme="minorHAnsi"/>
          <w:color w:val="000000"/>
        </w:rPr>
        <w:t xml:space="preserve">PBS, n=2, mouse ID: PBS01 – PBS02). </w:t>
      </w:r>
    </w:p>
    <w:p w14:paraId="6060AFCE" w14:textId="08DA394E" w:rsidR="00644C57" w:rsidRPr="00CD3392" w:rsidRDefault="00644C57" w:rsidP="00644C57">
      <w:pPr>
        <w:spacing w:after="100"/>
        <w:jc w:val="both"/>
        <w:rPr>
          <w:rFonts w:eastAsia="Times New Roman" w:cstheme="minorHAnsi"/>
          <w:color w:val="000000"/>
        </w:rPr>
      </w:pPr>
      <w:r w:rsidRPr="00851960">
        <w:rPr>
          <w:rFonts w:eastAsia="Times New Roman" w:cstheme="minorHAnsi"/>
          <w:color w:val="000000"/>
        </w:rPr>
        <w:t>A second group of 6</w:t>
      </w:r>
      <w:r w:rsidR="00195A90">
        <w:rPr>
          <w:rFonts w:eastAsia="Times New Roman" w:cstheme="minorHAnsi"/>
          <w:color w:val="000000"/>
        </w:rPr>
        <w:t>-wk-</w:t>
      </w:r>
      <w:r w:rsidRPr="00851960">
        <w:rPr>
          <w:rFonts w:eastAsia="Times New Roman" w:cstheme="minorHAnsi"/>
          <w:color w:val="000000"/>
        </w:rPr>
        <w:t xml:space="preserve">old male mdx52 mice received an ICV injection of 900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PMO-ASO targeting exon 51 (</w:t>
      </w:r>
      <w:r>
        <w:rPr>
          <w:rFonts w:eastAsia="Times New Roman" w:cstheme="minorHAnsi"/>
          <w:color w:val="000000"/>
        </w:rPr>
        <w:t>group</w:t>
      </w:r>
      <w:r w:rsidR="00782E91">
        <w:rPr>
          <w:rFonts w:eastAsia="Times New Roman" w:cstheme="minorHAnsi"/>
          <w:color w:val="000000"/>
        </w:rPr>
        <w:t xml:space="preserve"> ICV</w:t>
      </w:r>
      <w:r>
        <w:rPr>
          <w:rFonts w:eastAsia="Times New Roman" w:cstheme="minorHAnsi"/>
          <w:color w:val="000000"/>
        </w:rPr>
        <w:t xml:space="preserve"> </w:t>
      </w:r>
      <w:r w:rsidRPr="00851960">
        <w:rPr>
          <w:rFonts w:eastAsia="Times New Roman" w:cstheme="minorHAnsi"/>
          <w:color w:val="000000"/>
        </w:rPr>
        <w:t>PMO-</w:t>
      </w:r>
      <w:r>
        <w:rPr>
          <w:rFonts w:eastAsia="Times New Roman" w:cstheme="minorHAnsi"/>
          <w:color w:val="000000"/>
        </w:rPr>
        <w:t>Ex51</w:t>
      </w:r>
      <w:r w:rsidRPr="00851960">
        <w:rPr>
          <w:rFonts w:eastAsia="Times New Roman" w:cstheme="minorHAnsi"/>
          <w:color w:val="000000"/>
        </w:rPr>
        <w:t xml:space="preserve">, n=3, mouse ID: </w:t>
      </w:r>
      <w:r>
        <w:rPr>
          <w:rFonts w:eastAsia="Times New Roman" w:cstheme="minorHAnsi"/>
          <w:color w:val="000000"/>
        </w:rPr>
        <w:t>T</w:t>
      </w:r>
      <w:r w:rsidRPr="00851960">
        <w:rPr>
          <w:rFonts w:eastAsia="Times New Roman" w:cstheme="minorHAnsi"/>
          <w:color w:val="000000"/>
        </w:rPr>
        <w:t>01-</w:t>
      </w:r>
      <w:r>
        <w:rPr>
          <w:rFonts w:eastAsia="Times New Roman" w:cstheme="minorHAnsi"/>
          <w:color w:val="000000"/>
        </w:rPr>
        <w:t>T</w:t>
      </w:r>
      <w:r w:rsidRPr="00851960">
        <w:rPr>
          <w:rFonts w:eastAsia="Times New Roman" w:cstheme="minorHAnsi"/>
          <w:color w:val="000000"/>
        </w:rPr>
        <w:t>03) or saline control (group PBS, n=2, mouse ID: PBS03 – PBS04).</w:t>
      </w:r>
    </w:p>
    <w:p w14:paraId="78456167" w14:textId="77777777" w:rsidR="00644C57" w:rsidRPr="00851960" w:rsidRDefault="00644C57" w:rsidP="00644C57">
      <w:pPr>
        <w:spacing w:after="100"/>
        <w:jc w:val="both"/>
        <w:rPr>
          <w:rFonts w:eastAsia="Times New Roman" w:cstheme="minorHAnsi"/>
          <w:color w:val="000000"/>
        </w:rPr>
      </w:pPr>
      <w:r w:rsidRPr="00851960">
        <w:rPr>
          <w:rFonts w:eastAsia="Times New Roman" w:cstheme="minorHAnsi"/>
          <w:b/>
          <w:color w:val="000000"/>
          <w:u w:val="single"/>
        </w:rPr>
        <w:t>Experimental design study repeated ICV &amp; osmotic pumps</w:t>
      </w:r>
      <w:r w:rsidRPr="00851960">
        <w:rPr>
          <w:rFonts w:eastAsia="Times New Roman" w:cstheme="minorHAnsi"/>
          <w:color w:val="000000"/>
        </w:rPr>
        <w:t>:</w:t>
      </w:r>
    </w:p>
    <w:p w14:paraId="18B69805" w14:textId="5BBD859D" w:rsidR="00644C57" w:rsidRPr="00851960"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Adult (6-8-wks old) male </w:t>
      </w:r>
      <w:r w:rsidRPr="00851960">
        <w:rPr>
          <w:rFonts w:eastAsia="Times New Roman" w:cstheme="minorHAnsi"/>
          <w:i/>
          <w:color w:val="000000"/>
        </w:rPr>
        <w:t>mdx52</w:t>
      </w:r>
      <w:r w:rsidRPr="00851960">
        <w:rPr>
          <w:rFonts w:eastAsia="Times New Roman" w:cstheme="minorHAnsi"/>
          <w:color w:val="000000"/>
        </w:rPr>
        <w:t xml:space="preserve"> mice were implanted with </w:t>
      </w:r>
      <w:r w:rsidR="00195A90" w:rsidRPr="00851960">
        <w:rPr>
          <w:rFonts w:eastAsia="Times New Roman" w:cstheme="minorHAnsi"/>
          <w:color w:val="000000"/>
        </w:rPr>
        <w:t>cannula</w:t>
      </w:r>
      <w:r w:rsidRPr="00851960">
        <w:rPr>
          <w:rFonts w:eastAsia="Times New Roman" w:cstheme="minorHAnsi"/>
          <w:color w:val="000000"/>
        </w:rPr>
        <w:t xml:space="preserve"> and received 3 ICV injections of 400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tcDNA-ASO targeting exon 51 (group</w:t>
      </w:r>
      <w:r w:rsidR="00782E91">
        <w:rPr>
          <w:rFonts w:eastAsia="Times New Roman" w:cstheme="minorHAnsi"/>
          <w:color w:val="000000"/>
        </w:rPr>
        <w:t xml:space="preserve"> Cannula</w:t>
      </w:r>
      <w:r>
        <w:rPr>
          <w:rFonts w:eastAsia="Times New Roman" w:cstheme="minorHAnsi"/>
          <w:color w:val="000000"/>
        </w:rPr>
        <w:t xml:space="preserve"> tcDNA-Ex51</w:t>
      </w:r>
      <w:r w:rsidRPr="00851960">
        <w:rPr>
          <w:rFonts w:eastAsia="Times New Roman" w:cstheme="minorHAnsi"/>
          <w:color w:val="000000"/>
        </w:rPr>
        <w:t>, n=3, mouse ID: C01-C03), 5 ICV injections (group</w:t>
      </w:r>
      <w:r>
        <w:rPr>
          <w:rFonts w:eastAsia="Times New Roman" w:cstheme="minorHAnsi"/>
          <w:color w:val="000000"/>
        </w:rPr>
        <w:t xml:space="preserve"> tcDNA-Ex51</w:t>
      </w:r>
      <w:r w:rsidRPr="00851960">
        <w:rPr>
          <w:rFonts w:eastAsia="Times New Roman" w:cstheme="minorHAnsi"/>
          <w:color w:val="000000"/>
        </w:rPr>
        <w:t>, n=3, mouse ID: CC01-CC03) or saline control (group PBS, n=2, mouse ID: PBS0</w:t>
      </w:r>
      <w:r>
        <w:rPr>
          <w:rFonts w:eastAsia="Times New Roman" w:cstheme="minorHAnsi"/>
          <w:color w:val="000000"/>
        </w:rPr>
        <w:t>1</w:t>
      </w:r>
      <w:r w:rsidRPr="00851960">
        <w:rPr>
          <w:rFonts w:eastAsia="Times New Roman" w:cstheme="minorHAnsi"/>
          <w:color w:val="000000"/>
        </w:rPr>
        <w:t xml:space="preserve"> – PBS0</w:t>
      </w:r>
      <w:r>
        <w:rPr>
          <w:rFonts w:eastAsia="Times New Roman" w:cstheme="minorHAnsi"/>
          <w:color w:val="000000"/>
        </w:rPr>
        <w:t>2</w:t>
      </w:r>
      <w:r w:rsidRPr="00851960">
        <w:rPr>
          <w:rFonts w:eastAsia="Times New Roman" w:cstheme="minorHAnsi"/>
          <w:color w:val="000000"/>
        </w:rPr>
        <w:t xml:space="preserve">). </w:t>
      </w:r>
    </w:p>
    <w:p w14:paraId="2FF2A500" w14:textId="5DF173E7" w:rsidR="00644C57" w:rsidRPr="00851960"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 group of (6-8-wks old) male </w:t>
      </w:r>
      <w:r w:rsidRPr="00851960">
        <w:rPr>
          <w:rFonts w:eastAsia="Times New Roman" w:cstheme="minorHAnsi"/>
          <w:i/>
          <w:color w:val="000000"/>
        </w:rPr>
        <w:t>mdx52</w:t>
      </w:r>
      <w:r w:rsidRPr="00851960">
        <w:rPr>
          <w:rFonts w:eastAsia="Times New Roman" w:cstheme="minorHAnsi"/>
          <w:color w:val="000000"/>
        </w:rPr>
        <w:t xml:space="preserve"> mice were implanted with </w:t>
      </w:r>
      <w:r w:rsidR="00195A90" w:rsidRPr="00851960">
        <w:rPr>
          <w:rFonts w:eastAsia="Times New Roman" w:cstheme="minorHAnsi"/>
          <w:color w:val="000000"/>
        </w:rPr>
        <w:t>cannula</w:t>
      </w:r>
      <w:r w:rsidRPr="00851960">
        <w:rPr>
          <w:rFonts w:eastAsia="Times New Roman" w:cstheme="minorHAnsi"/>
          <w:color w:val="000000"/>
        </w:rPr>
        <w:t xml:space="preserve"> and received 3 ICV injections of 900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tcDNA-ASO targeting exon 51 (</w:t>
      </w:r>
      <w:r>
        <w:rPr>
          <w:rFonts w:eastAsia="Times New Roman" w:cstheme="minorHAnsi"/>
          <w:color w:val="000000"/>
        </w:rPr>
        <w:t xml:space="preserve">group </w:t>
      </w:r>
      <w:r w:rsidR="00782E91">
        <w:rPr>
          <w:rFonts w:eastAsia="Times New Roman" w:cstheme="minorHAnsi"/>
          <w:color w:val="000000"/>
        </w:rPr>
        <w:t xml:space="preserve">Cannula </w:t>
      </w:r>
      <w:r w:rsidRPr="00851960">
        <w:rPr>
          <w:rFonts w:eastAsia="Times New Roman" w:cstheme="minorHAnsi"/>
          <w:color w:val="000000"/>
        </w:rPr>
        <w:t>PMO-</w:t>
      </w:r>
      <w:r w:rsidR="00782E91">
        <w:rPr>
          <w:rFonts w:eastAsia="Times New Roman" w:cstheme="minorHAnsi"/>
          <w:color w:val="000000"/>
        </w:rPr>
        <w:t>Ex51</w:t>
      </w:r>
      <w:r w:rsidRPr="00851960">
        <w:rPr>
          <w:rFonts w:eastAsia="Times New Roman" w:cstheme="minorHAnsi"/>
          <w:color w:val="000000"/>
        </w:rPr>
        <w:t xml:space="preserve">, n=3, mouse ID: </w:t>
      </w:r>
      <w:r>
        <w:rPr>
          <w:rFonts w:eastAsia="Times New Roman" w:cstheme="minorHAnsi"/>
          <w:color w:val="000000"/>
        </w:rPr>
        <w:t>C</w:t>
      </w:r>
      <w:r w:rsidRPr="00851960">
        <w:rPr>
          <w:rFonts w:eastAsia="Times New Roman" w:cstheme="minorHAnsi"/>
          <w:color w:val="000000"/>
        </w:rPr>
        <w:t>01-</w:t>
      </w:r>
      <w:r>
        <w:rPr>
          <w:rFonts w:eastAsia="Times New Roman" w:cstheme="minorHAnsi"/>
          <w:color w:val="000000"/>
        </w:rPr>
        <w:t>C</w:t>
      </w:r>
      <w:r w:rsidRPr="00851960">
        <w:rPr>
          <w:rFonts w:eastAsia="Times New Roman" w:cstheme="minorHAnsi"/>
          <w:color w:val="000000"/>
        </w:rPr>
        <w:t>03) or saline control (group PBS, n=</w:t>
      </w:r>
      <w:r>
        <w:rPr>
          <w:rFonts w:eastAsia="Times New Roman" w:cstheme="minorHAnsi"/>
          <w:color w:val="000000"/>
        </w:rPr>
        <w:t>2</w:t>
      </w:r>
      <w:r w:rsidRPr="00851960">
        <w:rPr>
          <w:rFonts w:eastAsia="Times New Roman" w:cstheme="minorHAnsi"/>
          <w:color w:val="000000"/>
        </w:rPr>
        <w:t>, mouse ID: PBS0</w:t>
      </w:r>
      <w:r>
        <w:rPr>
          <w:rFonts w:eastAsia="Times New Roman" w:cstheme="minorHAnsi"/>
          <w:color w:val="000000"/>
        </w:rPr>
        <w:t>3</w:t>
      </w:r>
      <w:r w:rsidRPr="00851960">
        <w:rPr>
          <w:rFonts w:eastAsia="Times New Roman" w:cstheme="minorHAnsi"/>
          <w:color w:val="000000"/>
        </w:rPr>
        <w:t>– PBS0</w:t>
      </w:r>
      <w:r>
        <w:rPr>
          <w:rFonts w:eastAsia="Times New Roman" w:cstheme="minorHAnsi"/>
          <w:color w:val="000000"/>
        </w:rPr>
        <w:t>4</w:t>
      </w:r>
      <w:r w:rsidRPr="00851960">
        <w:rPr>
          <w:rFonts w:eastAsia="Times New Roman" w:cstheme="minorHAnsi"/>
          <w:color w:val="000000"/>
        </w:rPr>
        <w:t>)</w:t>
      </w:r>
    </w:p>
    <w:p w14:paraId="0AB0B8C9" w14:textId="04E5F586" w:rsidR="00644C57" w:rsidRPr="00CD3392"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Adult (6-8-wks old) male </w:t>
      </w:r>
      <w:r w:rsidRPr="00851960">
        <w:rPr>
          <w:rFonts w:eastAsia="Times New Roman" w:cstheme="minorHAnsi"/>
          <w:i/>
          <w:color w:val="000000"/>
        </w:rPr>
        <w:t>mdx52</w:t>
      </w:r>
      <w:r w:rsidRPr="00851960">
        <w:rPr>
          <w:rFonts w:eastAsia="Times New Roman" w:cstheme="minorHAnsi"/>
          <w:color w:val="000000"/>
        </w:rPr>
        <w:t xml:space="preserve"> mice were implanted with osmotic pumps and received 1mg of tcDNA-ASO targeting exon 51 (group </w:t>
      </w:r>
      <w:r w:rsidR="00782E91">
        <w:rPr>
          <w:rFonts w:eastAsia="Times New Roman" w:cstheme="minorHAnsi"/>
          <w:color w:val="000000"/>
        </w:rPr>
        <w:t xml:space="preserve">Pump </w:t>
      </w:r>
      <w:r>
        <w:rPr>
          <w:rFonts w:eastAsia="Times New Roman" w:cstheme="minorHAnsi"/>
          <w:color w:val="000000"/>
        </w:rPr>
        <w:t>tcDNA-Ex51</w:t>
      </w:r>
      <w:r w:rsidRPr="00851960">
        <w:rPr>
          <w:rFonts w:eastAsia="Times New Roman" w:cstheme="minorHAnsi"/>
          <w:color w:val="000000"/>
        </w:rPr>
        <w:t xml:space="preserve">, n=3, mouse ID: </w:t>
      </w:r>
      <w:r>
        <w:rPr>
          <w:rFonts w:eastAsia="Times New Roman" w:cstheme="minorHAnsi"/>
          <w:color w:val="000000"/>
        </w:rPr>
        <w:t>P</w:t>
      </w:r>
      <w:r w:rsidRPr="00851960">
        <w:rPr>
          <w:rFonts w:eastAsia="Times New Roman" w:cstheme="minorHAnsi"/>
          <w:color w:val="000000"/>
        </w:rPr>
        <w:t>01-</w:t>
      </w:r>
      <w:r>
        <w:rPr>
          <w:rFonts w:eastAsia="Times New Roman" w:cstheme="minorHAnsi"/>
          <w:color w:val="000000"/>
        </w:rPr>
        <w:t>P</w:t>
      </w:r>
      <w:r w:rsidRPr="00851960">
        <w:rPr>
          <w:rFonts w:eastAsia="Times New Roman" w:cstheme="minorHAnsi"/>
          <w:color w:val="000000"/>
        </w:rPr>
        <w:t>03) or saline control (PBS, n=2, mouse ID: PBS0</w:t>
      </w:r>
      <w:r>
        <w:rPr>
          <w:rFonts w:eastAsia="Times New Roman" w:cstheme="minorHAnsi"/>
          <w:color w:val="000000"/>
        </w:rPr>
        <w:t>5</w:t>
      </w:r>
      <w:r w:rsidRPr="00851960">
        <w:rPr>
          <w:rFonts w:eastAsia="Times New Roman" w:cstheme="minorHAnsi"/>
          <w:color w:val="000000"/>
        </w:rPr>
        <w:t xml:space="preserve"> – PBS0</w:t>
      </w:r>
      <w:r>
        <w:rPr>
          <w:rFonts w:eastAsia="Times New Roman" w:cstheme="minorHAnsi"/>
          <w:color w:val="000000"/>
        </w:rPr>
        <w:t>6</w:t>
      </w:r>
      <w:r w:rsidRPr="00851960">
        <w:rPr>
          <w:rFonts w:eastAsia="Times New Roman" w:cstheme="minorHAnsi"/>
          <w:color w:val="000000"/>
        </w:rPr>
        <w:t xml:space="preserve">). </w:t>
      </w:r>
    </w:p>
    <w:p w14:paraId="38ADAAF2" w14:textId="77777777" w:rsidR="00644C57" w:rsidRPr="004F036E" w:rsidRDefault="00644C57" w:rsidP="00644C57">
      <w:pPr>
        <w:spacing w:after="100"/>
        <w:jc w:val="both"/>
        <w:rPr>
          <w:rFonts w:eastAsia="Times New Roman" w:cstheme="minorHAnsi"/>
          <w:color w:val="000000"/>
        </w:rPr>
      </w:pPr>
      <w:r w:rsidRPr="004F036E">
        <w:rPr>
          <w:rFonts w:eastAsia="Times New Roman" w:cstheme="minorHAnsi"/>
          <w:b/>
          <w:color w:val="000000"/>
          <w:u w:val="single"/>
        </w:rPr>
        <w:t>Experimental design study ICM</w:t>
      </w:r>
      <w:r w:rsidRPr="004F036E">
        <w:rPr>
          <w:rFonts w:eastAsia="Times New Roman" w:cstheme="minorHAnsi"/>
          <w:color w:val="000000"/>
        </w:rPr>
        <w:t>:</w:t>
      </w:r>
    </w:p>
    <w:p w14:paraId="7983DB08" w14:textId="16BCFDFE" w:rsidR="00644C57" w:rsidRPr="00851960"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Adult (6-8-wks old) male </w:t>
      </w:r>
      <w:r w:rsidRPr="00851960">
        <w:rPr>
          <w:rFonts w:eastAsia="Times New Roman" w:cstheme="minorHAnsi"/>
          <w:i/>
          <w:color w:val="000000"/>
        </w:rPr>
        <w:t>mdx52</w:t>
      </w:r>
      <w:r w:rsidRPr="00851960">
        <w:rPr>
          <w:rFonts w:eastAsia="Times New Roman" w:cstheme="minorHAnsi"/>
          <w:color w:val="000000"/>
        </w:rPr>
        <w:t xml:space="preserve"> mice received an intra</w:t>
      </w:r>
      <w:r w:rsidRPr="004F036E">
        <w:rPr>
          <w:rFonts w:eastAsia="Times New Roman" w:cstheme="minorHAnsi"/>
          <w:i/>
          <w:iCs/>
          <w:color w:val="000000"/>
        </w:rPr>
        <w:t xml:space="preserve"> cisterna </w:t>
      </w:r>
      <w:proofErr w:type="gramStart"/>
      <w:r w:rsidRPr="004F036E">
        <w:rPr>
          <w:rFonts w:eastAsia="Times New Roman" w:cstheme="minorHAnsi"/>
          <w:i/>
          <w:iCs/>
          <w:color w:val="000000"/>
        </w:rPr>
        <w:t xml:space="preserve">magna  </w:t>
      </w:r>
      <w:r w:rsidRPr="00851960">
        <w:rPr>
          <w:rFonts w:eastAsia="Times New Roman" w:cstheme="minorHAnsi"/>
          <w:color w:val="000000"/>
        </w:rPr>
        <w:t>(</w:t>
      </w:r>
      <w:proofErr w:type="gramEnd"/>
      <w:r w:rsidRPr="00851960">
        <w:rPr>
          <w:rFonts w:eastAsia="Times New Roman" w:cstheme="minorHAnsi"/>
          <w:color w:val="000000"/>
        </w:rPr>
        <w:t>IC</w:t>
      </w:r>
      <w:r>
        <w:rPr>
          <w:rFonts w:eastAsia="Times New Roman" w:cstheme="minorHAnsi"/>
          <w:color w:val="000000"/>
        </w:rPr>
        <w:t>M</w:t>
      </w:r>
      <w:r w:rsidRPr="00851960">
        <w:rPr>
          <w:rFonts w:eastAsia="Times New Roman" w:cstheme="minorHAnsi"/>
          <w:color w:val="000000"/>
        </w:rPr>
        <w:t xml:space="preserve">) injection of 400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tcDNA-ASO targeting exon 51 (group</w:t>
      </w:r>
      <w:r>
        <w:rPr>
          <w:rFonts w:eastAsia="Times New Roman" w:cstheme="minorHAnsi"/>
          <w:color w:val="000000"/>
        </w:rPr>
        <w:t xml:space="preserve"> </w:t>
      </w:r>
      <w:r w:rsidR="00782E91">
        <w:rPr>
          <w:rFonts w:eastAsia="Times New Roman" w:cstheme="minorHAnsi"/>
          <w:color w:val="000000"/>
        </w:rPr>
        <w:t xml:space="preserve">ICM </w:t>
      </w:r>
      <w:r>
        <w:rPr>
          <w:rFonts w:eastAsia="Times New Roman" w:cstheme="minorHAnsi"/>
          <w:color w:val="000000"/>
        </w:rPr>
        <w:t>tcDNA-Ex51</w:t>
      </w:r>
      <w:r w:rsidRPr="00851960">
        <w:rPr>
          <w:rFonts w:eastAsia="Times New Roman" w:cstheme="minorHAnsi"/>
          <w:color w:val="000000"/>
        </w:rPr>
        <w:t>, n=</w:t>
      </w:r>
      <w:r>
        <w:rPr>
          <w:rFonts w:eastAsia="Times New Roman" w:cstheme="minorHAnsi"/>
          <w:color w:val="000000"/>
        </w:rPr>
        <w:t>4</w:t>
      </w:r>
      <w:r w:rsidRPr="00851960">
        <w:rPr>
          <w:rFonts w:eastAsia="Times New Roman" w:cstheme="minorHAnsi"/>
          <w:color w:val="000000"/>
        </w:rPr>
        <w:t>, mouse ID: T01-T</w:t>
      </w:r>
      <w:r>
        <w:rPr>
          <w:rFonts w:eastAsia="Times New Roman" w:cstheme="minorHAnsi"/>
          <w:color w:val="000000"/>
        </w:rPr>
        <w:t>04</w:t>
      </w:r>
      <w:r w:rsidRPr="00851960">
        <w:rPr>
          <w:rFonts w:eastAsia="Times New Roman" w:cstheme="minorHAnsi"/>
          <w:color w:val="000000"/>
        </w:rPr>
        <w:t>) or saline control (group</w:t>
      </w:r>
      <w:r>
        <w:rPr>
          <w:rFonts w:eastAsia="Times New Roman" w:cstheme="minorHAnsi"/>
          <w:color w:val="000000"/>
        </w:rPr>
        <w:t xml:space="preserve"> </w:t>
      </w:r>
      <w:r w:rsidRPr="00851960">
        <w:rPr>
          <w:rFonts w:eastAsia="Times New Roman" w:cstheme="minorHAnsi"/>
          <w:color w:val="000000"/>
        </w:rPr>
        <w:t>PBS, n=2, mouse ID: PBS</w:t>
      </w:r>
      <w:r>
        <w:rPr>
          <w:rFonts w:eastAsia="Times New Roman" w:cstheme="minorHAnsi"/>
          <w:color w:val="000000"/>
        </w:rPr>
        <w:t>0</w:t>
      </w:r>
      <w:r w:rsidRPr="00851960">
        <w:rPr>
          <w:rFonts w:eastAsia="Times New Roman" w:cstheme="minorHAnsi"/>
          <w:color w:val="000000"/>
        </w:rPr>
        <w:t>1 – PBS</w:t>
      </w:r>
      <w:r>
        <w:rPr>
          <w:rFonts w:eastAsia="Times New Roman" w:cstheme="minorHAnsi"/>
          <w:color w:val="000000"/>
        </w:rPr>
        <w:t>0</w:t>
      </w:r>
      <w:r w:rsidRPr="00851960">
        <w:rPr>
          <w:rFonts w:eastAsia="Times New Roman" w:cstheme="minorHAnsi"/>
          <w:color w:val="000000"/>
        </w:rPr>
        <w:t xml:space="preserve">2). </w:t>
      </w:r>
    </w:p>
    <w:p w14:paraId="5276A8EF" w14:textId="7CCBA9E9" w:rsidR="00644C57" w:rsidRPr="00851960" w:rsidRDefault="00644C57" w:rsidP="00644C57">
      <w:pPr>
        <w:spacing w:after="100"/>
        <w:jc w:val="both"/>
        <w:rPr>
          <w:rFonts w:eastAsia="Times New Roman" w:cstheme="minorHAnsi"/>
          <w:color w:val="000000"/>
        </w:rPr>
      </w:pPr>
      <w:r w:rsidRPr="00851960">
        <w:rPr>
          <w:rFonts w:eastAsia="Times New Roman" w:cstheme="minorHAnsi"/>
          <w:color w:val="000000"/>
        </w:rPr>
        <w:t>A second group of 6wks old male mdx52 mice received an IC</w:t>
      </w:r>
      <w:r>
        <w:rPr>
          <w:rFonts w:eastAsia="Times New Roman" w:cstheme="minorHAnsi"/>
          <w:color w:val="000000"/>
        </w:rPr>
        <w:t>M</w:t>
      </w:r>
      <w:r w:rsidRPr="00851960">
        <w:rPr>
          <w:rFonts w:eastAsia="Times New Roman" w:cstheme="minorHAnsi"/>
          <w:color w:val="000000"/>
        </w:rPr>
        <w:t xml:space="preserve"> injection of 900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PMO-ASO targeting exon 51 (</w:t>
      </w:r>
      <w:r>
        <w:rPr>
          <w:rFonts w:eastAsia="Times New Roman" w:cstheme="minorHAnsi"/>
          <w:color w:val="000000"/>
        </w:rPr>
        <w:t xml:space="preserve">group </w:t>
      </w:r>
      <w:r w:rsidR="00782E91">
        <w:rPr>
          <w:rFonts w:eastAsia="Times New Roman" w:cstheme="minorHAnsi"/>
          <w:color w:val="000000"/>
        </w:rPr>
        <w:t xml:space="preserve">ICM </w:t>
      </w:r>
      <w:r w:rsidRPr="00851960">
        <w:rPr>
          <w:rFonts w:eastAsia="Times New Roman" w:cstheme="minorHAnsi"/>
          <w:color w:val="000000"/>
        </w:rPr>
        <w:t>PMO-</w:t>
      </w:r>
      <w:r>
        <w:rPr>
          <w:rFonts w:eastAsia="Times New Roman" w:cstheme="minorHAnsi"/>
          <w:color w:val="000000"/>
        </w:rPr>
        <w:t>Ex51</w:t>
      </w:r>
      <w:r w:rsidRPr="00851960">
        <w:rPr>
          <w:rFonts w:eastAsia="Times New Roman" w:cstheme="minorHAnsi"/>
          <w:color w:val="000000"/>
        </w:rPr>
        <w:t xml:space="preserve">, n=3, mouse ID: </w:t>
      </w:r>
      <w:r>
        <w:rPr>
          <w:rFonts w:eastAsia="Times New Roman" w:cstheme="minorHAnsi"/>
          <w:color w:val="000000"/>
        </w:rPr>
        <w:t>T</w:t>
      </w:r>
      <w:r w:rsidRPr="00851960">
        <w:rPr>
          <w:rFonts w:eastAsia="Times New Roman" w:cstheme="minorHAnsi"/>
          <w:color w:val="000000"/>
        </w:rPr>
        <w:t>01-</w:t>
      </w:r>
      <w:r>
        <w:rPr>
          <w:rFonts w:eastAsia="Times New Roman" w:cstheme="minorHAnsi"/>
          <w:color w:val="000000"/>
        </w:rPr>
        <w:t>T</w:t>
      </w:r>
      <w:r w:rsidRPr="00851960">
        <w:rPr>
          <w:rFonts w:eastAsia="Times New Roman" w:cstheme="minorHAnsi"/>
          <w:color w:val="000000"/>
        </w:rPr>
        <w:t>03) or saline control (group PBS, n=2, mouse ID: PBS</w:t>
      </w:r>
      <w:r>
        <w:rPr>
          <w:rFonts w:eastAsia="Times New Roman" w:cstheme="minorHAnsi"/>
          <w:color w:val="000000"/>
        </w:rPr>
        <w:t>0</w:t>
      </w:r>
      <w:r w:rsidRPr="00851960">
        <w:rPr>
          <w:rFonts w:eastAsia="Times New Roman" w:cstheme="minorHAnsi"/>
          <w:color w:val="000000"/>
        </w:rPr>
        <w:t>3 – PBS</w:t>
      </w:r>
      <w:r>
        <w:rPr>
          <w:rFonts w:eastAsia="Times New Roman" w:cstheme="minorHAnsi"/>
          <w:color w:val="000000"/>
        </w:rPr>
        <w:t>0</w:t>
      </w:r>
      <w:r w:rsidRPr="00851960">
        <w:rPr>
          <w:rFonts w:eastAsia="Times New Roman" w:cstheme="minorHAnsi"/>
          <w:color w:val="000000"/>
        </w:rPr>
        <w:t>4).</w:t>
      </w:r>
    </w:p>
    <w:p w14:paraId="2D3BA960" w14:textId="77777777" w:rsidR="00644C57" w:rsidRPr="00D2545F" w:rsidRDefault="00644C57" w:rsidP="00644C57">
      <w:pPr>
        <w:spacing w:after="100"/>
        <w:jc w:val="both"/>
        <w:rPr>
          <w:rFonts w:eastAsia="Times New Roman" w:cstheme="minorHAnsi"/>
          <w:color w:val="000000"/>
          <w:highlight w:val="yellow"/>
        </w:rPr>
      </w:pPr>
      <w:r w:rsidRPr="004F036E">
        <w:rPr>
          <w:rFonts w:eastAsia="Times New Roman" w:cstheme="minorHAnsi"/>
          <w:b/>
          <w:color w:val="000000"/>
          <w:u w:val="single"/>
        </w:rPr>
        <w:t>Experimental design study repeated ICM</w:t>
      </w:r>
      <w:r w:rsidRPr="004F036E">
        <w:rPr>
          <w:rFonts w:eastAsia="Times New Roman" w:cstheme="minorHAnsi"/>
          <w:color w:val="000000"/>
        </w:rPr>
        <w:t>:</w:t>
      </w:r>
    </w:p>
    <w:p w14:paraId="64DD8577" w14:textId="1CB7D67B" w:rsidR="00644C57" w:rsidRPr="00851960"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Adult (6-8-wks old) male </w:t>
      </w:r>
      <w:r w:rsidRPr="00851960">
        <w:rPr>
          <w:rFonts w:eastAsia="Times New Roman" w:cstheme="minorHAnsi"/>
          <w:i/>
          <w:color w:val="000000"/>
        </w:rPr>
        <w:t>mdx52</w:t>
      </w:r>
      <w:r w:rsidRPr="00851960">
        <w:rPr>
          <w:rFonts w:eastAsia="Times New Roman" w:cstheme="minorHAnsi"/>
          <w:color w:val="000000"/>
        </w:rPr>
        <w:t xml:space="preserve"> mice received 3 IC</w:t>
      </w:r>
      <w:r>
        <w:rPr>
          <w:rFonts w:eastAsia="Times New Roman" w:cstheme="minorHAnsi"/>
          <w:color w:val="000000"/>
        </w:rPr>
        <w:t>M</w:t>
      </w:r>
      <w:r w:rsidRPr="00851960">
        <w:rPr>
          <w:rFonts w:eastAsia="Times New Roman" w:cstheme="minorHAnsi"/>
          <w:color w:val="000000"/>
        </w:rPr>
        <w:t xml:space="preserve"> injections of 400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tcDNA-ASO targeting exon 51 (group</w:t>
      </w:r>
      <w:r w:rsidR="00782E91">
        <w:rPr>
          <w:rFonts w:eastAsia="Times New Roman" w:cstheme="minorHAnsi"/>
          <w:color w:val="000000"/>
        </w:rPr>
        <w:t xml:space="preserve"> Triple ICM</w:t>
      </w:r>
      <w:r>
        <w:rPr>
          <w:rFonts w:eastAsia="Times New Roman" w:cstheme="minorHAnsi"/>
          <w:color w:val="000000"/>
        </w:rPr>
        <w:t xml:space="preserve"> tcDNA-Ex51</w:t>
      </w:r>
      <w:r w:rsidRPr="00851960">
        <w:rPr>
          <w:rFonts w:eastAsia="Times New Roman" w:cstheme="minorHAnsi"/>
          <w:color w:val="000000"/>
        </w:rPr>
        <w:t>, n=</w:t>
      </w:r>
      <w:r>
        <w:rPr>
          <w:rFonts w:eastAsia="Times New Roman" w:cstheme="minorHAnsi"/>
          <w:color w:val="000000"/>
        </w:rPr>
        <w:t>6</w:t>
      </w:r>
      <w:r w:rsidRPr="00851960">
        <w:rPr>
          <w:rFonts w:eastAsia="Times New Roman" w:cstheme="minorHAnsi"/>
          <w:color w:val="000000"/>
        </w:rPr>
        <w:t xml:space="preserve">, mouse ID: </w:t>
      </w:r>
      <w:r>
        <w:rPr>
          <w:rFonts w:eastAsia="Times New Roman" w:cstheme="minorHAnsi"/>
          <w:color w:val="000000"/>
        </w:rPr>
        <w:t>I</w:t>
      </w:r>
      <w:r w:rsidRPr="00851960">
        <w:rPr>
          <w:rFonts w:eastAsia="Times New Roman" w:cstheme="minorHAnsi"/>
          <w:color w:val="000000"/>
        </w:rPr>
        <w:t>01-</w:t>
      </w:r>
      <w:r>
        <w:rPr>
          <w:rFonts w:eastAsia="Times New Roman" w:cstheme="minorHAnsi"/>
          <w:color w:val="000000"/>
        </w:rPr>
        <w:t>I</w:t>
      </w:r>
      <w:r w:rsidRPr="00851960">
        <w:rPr>
          <w:rFonts w:eastAsia="Times New Roman" w:cstheme="minorHAnsi"/>
          <w:color w:val="000000"/>
        </w:rPr>
        <w:t>0</w:t>
      </w:r>
      <w:r>
        <w:rPr>
          <w:rFonts w:eastAsia="Times New Roman" w:cstheme="minorHAnsi"/>
          <w:color w:val="000000"/>
        </w:rPr>
        <w:t>6</w:t>
      </w:r>
      <w:r w:rsidRPr="00851960">
        <w:rPr>
          <w:rFonts w:eastAsia="Times New Roman" w:cstheme="minorHAnsi"/>
          <w:color w:val="000000"/>
        </w:rPr>
        <w:t>)</w:t>
      </w:r>
      <w:r>
        <w:rPr>
          <w:rFonts w:eastAsia="Times New Roman" w:cstheme="minorHAnsi"/>
          <w:color w:val="000000"/>
        </w:rPr>
        <w:t xml:space="preserve"> </w:t>
      </w:r>
      <w:r w:rsidRPr="00851960">
        <w:rPr>
          <w:rFonts w:eastAsia="Times New Roman" w:cstheme="minorHAnsi"/>
          <w:color w:val="000000"/>
        </w:rPr>
        <w:t>or saline control (group PBS, n=2, mouse ID: PBS</w:t>
      </w:r>
      <w:r>
        <w:rPr>
          <w:rFonts w:eastAsia="Times New Roman" w:cstheme="minorHAnsi"/>
          <w:color w:val="000000"/>
        </w:rPr>
        <w:t>01</w:t>
      </w:r>
      <w:r w:rsidRPr="00851960">
        <w:rPr>
          <w:rFonts w:eastAsia="Times New Roman" w:cstheme="minorHAnsi"/>
          <w:color w:val="000000"/>
        </w:rPr>
        <w:t xml:space="preserve"> – PBS</w:t>
      </w:r>
      <w:r>
        <w:rPr>
          <w:rFonts w:eastAsia="Times New Roman" w:cstheme="minorHAnsi"/>
          <w:color w:val="000000"/>
        </w:rPr>
        <w:t>02</w:t>
      </w:r>
      <w:r w:rsidRPr="00851960">
        <w:rPr>
          <w:rFonts w:eastAsia="Times New Roman" w:cstheme="minorHAnsi"/>
          <w:color w:val="000000"/>
        </w:rPr>
        <w:t xml:space="preserve">). </w:t>
      </w:r>
    </w:p>
    <w:p w14:paraId="21560BE9" w14:textId="69871C4A" w:rsidR="00644C57" w:rsidRPr="00CD3392"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 group of (6-8-wks old) male </w:t>
      </w:r>
      <w:r w:rsidRPr="00851960">
        <w:rPr>
          <w:rFonts w:eastAsia="Times New Roman" w:cstheme="minorHAnsi"/>
          <w:i/>
          <w:color w:val="000000"/>
        </w:rPr>
        <w:t>mdx52</w:t>
      </w:r>
      <w:r w:rsidRPr="00851960">
        <w:rPr>
          <w:rFonts w:eastAsia="Times New Roman" w:cstheme="minorHAnsi"/>
          <w:color w:val="000000"/>
        </w:rPr>
        <w:t xml:space="preserve"> mice received 3 IC</w:t>
      </w:r>
      <w:r>
        <w:rPr>
          <w:rFonts w:eastAsia="Times New Roman" w:cstheme="minorHAnsi"/>
          <w:color w:val="000000"/>
        </w:rPr>
        <w:t>M</w:t>
      </w:r>
      <w:r w:rsidRPr="00851960">
        <w:rPr>
          <w:rFonts w:eastAsia="Times New Roman" w:cstheme="minorHAnsi"/>
          <w:color w:val="000000"/>
        </w:rPr>
        <w:t xml:space="preserve"> injections of 900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tcDNA-ASO targeting exon 51 (</w:t>
      </w:r>
      <w:r>
        <w:rPr>
          <w:rFonts w:eastAsia="Times New Roman" w:cstheme="minorHAnsi"/>
          <w:color w:val="000000"/>
        </w:rPr>
        <w:t>group</w:t>
      </w:r>
      <w:r w:rsidR="00782E91" w:rsidRPr="00782E91">
        <w:rPr>
          <w:rFonts w:eastAsia="Times New Roman" w:cstheme="minorHAnsi"/>
          <w:color w:val="000000"/>
        </w:rPr>
        <w:t xml:space="preserve"> </w:t>
      </w:r>
      <w:r w:rsidR="00782E91">
        <w:rPr>
          <w:rFonts w:eastAsia="Times New Roman" w:cstheme="minorHAnsi"/>
          <w:color w:val="000000"/>
        </w:rPr>
        <w:t>Triple ICM</w:t>
      </w:r>
      <w:r>
        <w:rPr>
          <w:rFonts w:eastAsia="Times New Roman" w:cstheme="minorHAnsi"/>
          <w:color w:val="000000"/>
        </w:rPr>
        <w:t xml:space="preserve"> </w:t>
      </w:r>
      <w:r w:rsidRPr="00851960">
        <w:rPr>
          <w:rFonts w:eastAsia="Times New Roman" w:cstheme="minorHAnsi"/>
          <w:color w:val="000000"/>
        </w:rPr>
        <w:t xml:space="preserve">PMO treated, n=3, mouse ID: </w:t>
      </w:r>
      <w:r>
        <w:rPr>
          <w:rFonts w:eastAsia="Times New Roman" w:cstheme="minorHAnsi"/>
          <w:color w:val="000000"/>
        </w:rPr>
        <w:t>I</w:t>
      </w:r>
      <w:r w:rsidRPr="00851960">
        <w:rPr>
          <w:rFonts w:eastAsia="Times New Roman" w:cstheme="minorHAnsi"/>
          <w:color w:val="000000"/>
        </w:rPr>
        <w:t>01-</w:t>
      </w:r>
      <w:r>
        <w:rPr>
          <w:rFonts w:eastAsia="Times New Roman" w:cstheme="minorHAnsi"/>
          <w:color w:val="000000"/>
        </w:rPr>
        <w:t>I</w:t>
      </w:r>
      <w:r w:rsidRPr="00851960">
        <w:rPr>
          <w:rFonts w:eastAsia="Times New Roman" w:cstheme="minorHAnsi"/>
          <w:color w:val="000000"/>
        </w:rPr>
        <w:t>03) or saline control (group PBS, n=</w:t>
      </w:r>
      <w:r>
        <w:rPr>
          <w:rFonts w:eastAsia="Times New Roman" w:cstheme="minorHAnsi"/>
          <w:color w:val="000000"/>
        </w:rPr>
        <w:t>2</w:t>
      </w:r>
      <w:r w:rsidRPr="00851960">
        <w:rPr>
          <w:rFonts w:eastAsia="Times New Roman" w:cstheme="minorHAnsi"/>
          <w:color w:val="000000"/>
        </w:rPr>
        <w:t>, mouse ID: PBS0</w:t>
      </w:r>
      <w:r>
        <w:rPr>
          <w:rFonts w:eastAsia="Times New Roman" w:cstheme="minorHAnsi"/>
          <w:color w:val="000000"/>
        </w:rPr>
        <w:t>3</w:t>
      </w:r>
      <w:r w:rsidRPr="00851960">
        <w:rPr>
          <w:rFonts w:eastAsia="Times New Roman" w:cstheme="minorHAnsi"/>
          <w:color w:val="000000"/>
        </w:rPr>
        <w:t>– PBS0</w:t>
      </w:r>
      <w:r>
        <w:rPr>
          <w:rFonts w:eastAsia="Times New Roman" w:cstheme="minorHAnsi"/>
          <w:color w:val="000000"/>
        </w:rPr>
        <w:t>4</w:t>
      </w:r>
      <w:r w:rsidRPr="00851960">
        <w:rPr>
          <w:rFonts w:eastAsia="Times New Roman" w:cstheme="minorHAnsi"/>
          <w:color w:val="000000"/>
        </w:rPr>
        <w:t>)</w:t>
      </w:r>
    </w:p>
    <w:p w14:paraId="7D13AFC6" w14:textId="77777777" w:rsidR="00644C57" w:rsidRDefault="00644C57" w:rsidP="00644C57">
      <w:pPr>
        <w:spacing w:after="100"/>
        <w:jc w:val="both"/>
        <w:rPr>
          <w:rFonts w:eastAsia="Times New Roman" w:cstheme="minorHAnsi"/>
          <w:color w:val="000000"/>
        </w:rPr>
      </w:pPr>
      <w:r w:rsidRPr="004F036E">
        <w:rPr>
          <w:rFonts w:eastAsia="Times New Roman" w:cstheme="minorHAnsi"/>
          <w:b/>
          <w:color w:val="000000"/>
          <w:u w:val="single"/>
        </w:rPr>
        <w:t>Experimental design study combined ICV and ICM</w:t>
      </w:r>
      <w:r w:rsidRPr="004F036E">
        <w:rPr>
          <w:rFonts w:eastAsia="Times New Roman" w:cstheme="minorHAnsi"/>
          <w:color w:val="000000"/>
        </w:rPr>
        <w:t>:</w:t>
      </w:r>
    </w:p>
    <w:p w14:paraId="774B3FBA" w14:textId="07E54B41" w:rsidR="00644C57" w:rsidRDefault="00644C57" w:rsidP="00644C57">
      <w:pPr>
        <w:spacing w:after="100"/>
        <w:jc w:val="both"/>
        <w:rPr>
          <w:rFonts w:eastAsia="Times New Roman" w:cstheme="minorHAnsi"/>
        </w:rPr>
      </w:pPr>
      <w:r w:rsidRPr="004F036E">
        <w:rPr>
          <w:rFonts w:eastAsia="Times New Roman" w:cstheme="minorHAnsi"/>
        </w:rPr>
        <w:t xml:space="preserve">For the treatment combining ICM and ICM, a separate group of 6-week-old </w:t>
      </w:r>
      <w:r w:rsidRPr="004F036E">
        <w:rPr>
          <w:rFonts w:eastAsia="Times New Roman" w:cstheme="minorHAnsi"/>
          <w:i/>
          <w:iCs/>
        </w:rPr>
        <w:t>mdx52</w:t>
      </w:r>
      <w:r w:rsidRPr="004F036E">
        <w:rPr>
          <w:rFonts w:eastAsia="Times New Roman" w:cstheme="minorHAnsi"/>
        </w:rPr>
        <w:t xml:space="preserve"> male m</w:t>
      </w:r>
      <w:r w:rsidR="00195A90">
        <w:rPr>
          <w:rFonts w:eastAsia="Times New Roman" w:cstheme="minorHAnsi"/>
        </w:rPr>
        <w:t xml:space="preserve">ice underwent an ICM injection </w:t>
      </w:r>
      <w:r w:rsidRPr="004F036E">
        <w:rPr>
          <w:rFonts w:eastAsia="Times New Roman" w:cstheme="minorHAnsi"/>
        </w:rPr>
        <w:t xml:space="preserve">followed by an ICV of </w:t>
      </w:r>
      <w:r w:rsidRPr="004F036E">
        <w:rPr>
          <w:rFonts w:eastAsia="Times New Roman" w:cstheme="minorHAnsi"/>
          <w:color w:val="000000"/>
        </w:rPr>
        <w:t xml:space="preserve">400 </w:t>
      </w:r>
      <w:proofErr w:type="spellStart"/>
      <w:r w:rsidRPr="004F036E">
        <w:rPr>
          <w:rFonts w:eastAsia="Times New Roman" w:cstheme="minorHAnsi"/>
          <w:color w:val="000000"/>
        </w:rPr>
        <w:t>ug</w:t>
      </w:r>
      <w:proofErr w:type="spellEnd"/>
      <w:r w:rsidR="00195A90">
        <w:rPr>
          <w:rFonts w:eastAsia="Times New Roman" w:cstheme="minorHAnsi"/>
          <w:color w:val="000000"/>
        </w:rPr>
        <w:t xml:space="preserve"> of tcDNA-ASO targeting exon 51</w:t>
      </w:r>
      <w:r w:rsidRPr="004F036E">
        <w:rPr>
          <w:rFonts w:eastAsia="Times New Roman" w:cstheme="minorHAnsi"/>
        </w:rPr>
        <w:t>, (</w:t>
      </w:r>
      <w:r w:rsidRPr="004F036E">
        <w:rPr>
          <w:rFonts w:eastAsia="Times New Roman" w:cstheme="minorHAnsi"/>
          <w:color w:val="000000"/>
        </w:rPr>
        <w:t>group</w:t>
      </w:r>
      <w:r w:rsidR="00554E37">
        <w:rPr>
          <w:rFonts w:eastAsia="Times New Roman" w:cstheme="minorHAnsi"/>
          <w:color w:val="000000"/>
        </w:rPr>
        <w:t xml:space="preserve"> Combined ICV+ICM</w:t>
      </w:r>
      <w:r w:rsidRPr="004F036E">
        <w:rPr>
          <w:rFonts w:eastAsia="Times New Roman" w:cstheme="minorHAnsi"/>
          <w:color w:val="000000"/>
        </w:rPr>
        <w:t xml:space="preserve"> tcDNA-Ex51, </w:t>
      </w:r>
      <w:r w:rsidRPr="004F036E">
        <w:rPr>
          <w:rFonts w:eastAsia="Times New Roman" w:cstheme="minorHAnsi"/>
        </w:rPr>
        <w:t xml:space="preserve">n=4, mouse ID T01-T04) </w:t>
      </w:r>
      <w:r>
        <w:rPr>
          <w:rFonts w:eastAsia="Times New Roman" w:cstheme="minorHAnsi"/>
        </w:rPr>
        <w:t>or saline (</w:t>
      </w:r>
      <w:r w:rsidRPr="00851960">
        <w:rPr>
          <w:rFonts w:eastAsia="Times New Roman" w:cstheme="minorHAnsi"/>
          <w:color w:val="000000"/>
        </w:rPr>
        <w:t>group PBS, n=2, mouse ID: PBS</w:t>
      </w:r>
      <w:r>
        <w:rPr>
          <w:rFonts w:eastAsia="Times New Roman" w:cstheme="minorHAnsi"/>
          <w:color w:val="000000"/>
        </w:rPr>
        <w:t>01</w:t>
      </w:r>
      <w:r w:rsidRPr="00851960">
        <w:rPr>
          <w:rFonts w:eastAsia="Times New Roman" w:cstheme="minorHAnsi"/>
          <w:color w:val="000000"/>
        </w:rPr>
        <w:t xml:space="preserve"> – PBS</w:t>
      </w:r>
      <w:r>
        <w:rPr>
          <w:rFonts w:eastAsia="Times New Roman" w:cstheme="minorHAnsi"/>
          <w:color w:val="000000"/>
        </w:rPr>
        <w:t>0</w:t>
      </w:r>
      <w:r w:rsidRPr="004F036E">
        <w:rPr>
          <w:rFonts w:eastAsia="Times New Roman" w:cstheme="minorHAnsi"/>
          <w:color w:val="000000"/>
        </w:rPr>
        <w:t>2</w:t>
      </w:r>
      <w:r w:rsidRPr="004F036E">
        <w:rPr>
          <w:rFonts w:eastAsia="Times New Roman" w:cstheme="minorHAnsi"/>
        </w:rPr>
        <w:t>)</w:t>
      </w:r>
      <w:r>
        <w:rPr>
          <w:rFonts w:eastAsia="Times New Roman" w:cstheme="minorHAnsi"/>
        </w:rPr>
        <w:t>.</w:t>
      </w:r>
    </w:p>
    <w:p w14:paraId="1CD8CC11" w14:textId="69CEABE2" w:rsidR="00644C57" w:rsidRPr="00CD3392" w:rsidRDefault="00644C57" w:rsidP="00644C57">
      <w:pPr>
        <w:spacing w:after="100"/>
        <w:jc w:val="both"/>
        <w:rPr>
          <w:rFonts w:eastAsia="Times New Roman" w:cstheme="minorHAnsi"/>
          <w:color w:val="000000"/>
        </w:rPr>
      </w:pPr>
      <w:r w:rsidRPr="00851960">
        <w:rPr>
          <w:rFonts w:eastAsia="Times New Roman" w:cstheme="minorHAnsi"/>
          <w:color w:val="000000"/>
        </w:rPr>
        <w:t xml:space="preserve">A group of (6-8-wks old) male </w:t>
      </w:r>
      <w:r w:rsidRPr="00851960">
        <w:rPr>
          <w:rFonts w:eastAsia="Times New Roman" w:cstheme="minorHAnsi"/>
          <w:i/>
          <w:color w:val="000000"/>
        </w:rPr>
        <w:t>mdx52</w:t>
      </w:r>
      <w:r w:rsidRPr="00851960">
        <w:rPr>
          <w:rFonts w:eastAsia="Times New Roman" w:cstheme="minorHAnsi"/>
          <w:color w:val="000000"/>
        </w:rPr>
        <w:t xml:space="preserve"> mice received 3 IC</w:t>
      </w:r>
      <w:r>
        <w:rPr>
          <w:rFonts w:eastAsia="Times New Roman" w:cstheme="minorHAnsi"/>
          <w:color w:val="000000"/>
        </w:rPr>
        <w:t>M</w:t>
      </w:r>
      <w:r w:rsidRPr="00851960">
        <w:rPr>
          <w:rFonts w:eastAsia="Times New Roman" w:cstheme="minorHAnsi"/>
          <w:color w:val="000000"/>
        </w:rPr>
        <w:t xml:space="preserve"> </w:t>
      </w:r>
      <w:r>
        <w:rPr>
          <w:rFonts w:eastAsia="Times New Roman" w:cstheme="minorHAnsi"/>
          <w:color w:val="000000"/>
        </w:rPr>
        <w:t xml:space="preserve">followed by an ICV </w:t>
      </w:r>
      <w:r w:rsidRPr="00851960">
        <w:rPr>
          <w:rFonts w:eastAsia="Times New Roman" w:cstheme="minorHAnsi"/>
          <w:color w:val="000000"/>
        </w:rPr>
        <w:t xml:space="preserve">injections of 900 </w:t>
      </w:r>
      <w:proofErr w:type="spellStart"/>
      <w:r w:rsidRPr="00851960">
        <w:rPr>
          <w:rFonts w:eastAsia="Times New Roman" w:cstheme="minorHAnsi"/>
          <w:color w:val="000000"/>
        </w:rPr>
        <w:t>ug</w:t>
      </w:r>
      <w:proofErr w:type="spellEnd"/>
      <w:r w:rsidRPr="00851960">
        <w:rPr>
          <w:rFonts w:eastAsia="Times New Roman" w:cstheme="minorHAnsi"/>
          <w:color w:val="000000"/>
        </w:rPr>
        <w:t xml:space="preserve"> of tcDNA-ASO targeting exon 51 (</w:t>
      </w:r>
      <w:r>
        <w:rPr>
          <w:rFonts w:eastAsia="Times New Roman" w:cstheme="minorHAnsi"/>
          <w:color w:val="000000"/>
        </w:rPr>
        <w:t xml:space="preserve">group </w:t>
      </w:r>
      <w:r w:rsidR="00554E37">
        <w:rPr>
          <w:rFonts w:eastAsia="Times New Roman" w:cstheme="minorHAnsi"/>
          <w:color w:val="000000"/>
        </w:rPr>
        <w:t>Combined ICV+ICM</w:t>
      </w:r>
      <w:r w:rsidR="00554E37" w:rsidRPr="004F036E">
        <w:rPr>
          <w:rFonts w:eastAsia="Times New Roman" w:cstheme="minorHAnsi"/>
          <w:color w:val="000000"/>
        </w:rPr>
        <w:t xml:space="preserve"> </w:t>
      </w:r>
      <w:r w:rsidRPr="00851960">
        <w:rPr>
          <w:rFonts w:eastAsia="Times New Roman" w:cstheme="minorHAnsi"/>
          <w:color w:val="000000"/>
        </w:rPr>
        <w:t>PMO</w:t>
      </w:r>
      <w:r w:rsidR="00554E37">
        <w:rPr>
          <w:rFonts w:eastAsia="Times New Roman" w:cstheme="minorHAnsi"/>
          <w:color w:val="000000"/>
        </w:rPr>
        <w:t>-Ex51</w:t>
      </w:r>
      <w:r w:rsidRPr="00851960">
        <w:rPr>
          <w:rFonts w:eastAsia="Times New Roman" w:cstheme="minorHAnsi"/>
          <w:color w:val="000000"/>
        </w:rPr>
        <w:t>, n=</w:t>
      </w:r>
      <w:r>
        <w:rPr>
          <w:rFonts w:eastAsia="Times New Roman" w:cstheme="minorHAnsi"/>
          <w:color w:val="000000"/>
        </w:rPr>
        <w:t>4</w:t>
      </w:r>
      <w:r w:rsidRPr="00851960">
        <w:rPr>
          <w:rFonts w:eastAsia="Times New Roman" w:cstheme="minorHAnsi"/>
          <w:color w:val="000000"/>
        </w:rPr>
        <w:t xml:space="preserve">, mouse ID: </w:t>
      </w:r>
      <w:r>
        <w:rPr>
          <w:rFonts w:eastAsia="Times New Roman" w:cstheme="minorHAnsi"/>
          <w:color w:val="000000"/>
        </w:rPr>
        <w:t>T</w:t>
      </w:r>
      <w:r w:rsidRPr="00851960">
        <w:rPr>
          <w:rFonts w:eastAsia="Times New Roman" w:cstheme="minorHAnsi"/>
          <w:color w:val="000000"/>
        </w:rPr>
        <w:t>01-</w:t>
      </w:r>
      <w:r>
        <w:rPr>
          <w:rFonts w:eastAsia="Times New Roman" w:cstheme="minorHAnsi"/>
          <w:color w:val="000000"/>
        </w:rPr>
        <w:t>T</w:t>
      </w:r>
      <w:r w:rsidRPr="00851960">
        <w:rPr>
          <w:rFonts w:eastAsia="Times New Roman" w:cstheme="minorHAnsi"/>
          <w:color w:val="000000"/>
        </w:rPr>
        <w:t>0</w:t>
      </w:r>
      <w:r>
        <w:rPr>
          <w:rFonts w:eastAsia="Times New Roman" w:cstheme="minorHAnsi"/>
          <w:color w:val="000000"/>
        </w:rPr>
        <w:t>4</w:t>
      </w:r>
      <w:r w:rsidRPr="00851960">
        <w:rPr>
          <w:rFonts w:eastAsia="Times New Roman" w:cstheme="minorHAnsi"/>
          <w:color w:val="000000"/>
        </w:rPr>
        <w:t>) or saline control (group PBS, n=</w:t>
      </w:r>
      <w:r>
        <w:rPr>
          <w:rFonts w:eastAsia="Times New Roman" w:cstheme="minorHAnsi"/>
          <w:color w:val="000000"/>
        </w:rPr>
        <w:t>2</w:t>
      </w:r>
      <w:r w:rsidRPr="00851960">
        <w:rPr>
          <w:rFonts w:eastAsia="Times New Roman" w:cstheme="minorHAnsi"/>
          <w:color w:val="000000"/>
        </w:rPr>
        <w:t>, mouse ID: PBS0</w:t>
      </w:r>
      <w:r>
        <w:rPr>
          <w:rFonts w:eastAsia="Times New Roman" w:cstheme="minorHAnsi"/>
          <w:color w:val="000000"/>
        </w:rPr>
        <w:t>3</w:t>
      </w:r>
      <w:r w:rsidRPr="00851960">
        <w:rPr>
          <w:rFonts w:eastAsia="Times New Roman" w:cstheme="minorHAnsi"/>
          <w:color w:val="000000"/>
        </w:rPr>
        <w:t>– PBS0</w:t>
      </w:r>
      <w:r>
        <w:rPr>
          <w:rFonts w:eastAsia="Times New Roman" w:cstheme="minorHAnsi"/>
          <w:color w:val="000000"/>
        </w:rPr>
        <w:t>4</w:t>
      </w:r>
      <w:r w:rsidRPr="00851960">
        <w:rPr>
          <w:rFonts w:eastAsia="Times New Roman" w:cstheme="minorHAnsi"/>
          <w:color w:val="000000"/>
        </w:rPr>
        <w:t>)</w:t>
      </w:r>
      <w:r>
        <w:rPr>
          <w:rFonts w:eastAsia="Times New Roman" w:cstheme="minorHAnsi"/>
          <w:color w:val="000000"/>
        </w:rPr>
        <w:t>.</w:t>
      </w:r>
    </w:p>
    <w:p w14:paraId="441967A4" w14:textId="77777777" w:rsidR="00644C57" w:rsidRPr="00D2545F" w:rsidRDefault="00644C57" w:rsidP="00644C57">
      <w:pPr>
        <w:spacing w:after="100"/>
        <w:jc w:val="both"/>
        <w:rPr>
          <w:rFonts w:eastAsia="Times New Roman" w:cstheme="minorHAnsi"/>
        </w:rPr>
      </w:pPr>
      <w:r>
        <w:rPr>
          <w:rFonts w:eastAsia="Times New Roman" w:cstheme="minorHAnsi"/>
        </w:rPr>
        <w:t xml:space="preserve">7 </w:t>
      </w:r>
      <w:proofErr w:type="gramStart"/>
      <w:r>
        <w:rPr>
          <w:rFonts w:eastAsia="Times New Roman" w:cstheme="minorHAnsi"/>
        </w:rPr>
        <w:t>weeks</w:t>
      </w:r>
      <w:proofErr w:type="gramEnd"/>
      <w:r>
        <w:rPr>
          <w:rFonts w:eastAsia="Times New Roman" w:cstheme="minorHAnsi"/>
        </w:rPr>
        <w:t xml:space="preserve"> post-treatment</w:t>
      </w:r>
      <w:r w:rsidRPr="004F036E">
        <w:rPr>
          <w:rFonts w:eastAsia="Times New Roman" w:cstheme="minorHAnsi"/>
        </w:rPr>
        <w:t>, all mice were euthanized and brain and muscles samples were collected for further molecular analysis (% of Exon 51 skipping).</w:t>
      </w:r>
    </w:p>
    <w:p w14:paraId="3D35E776" w14:textId="77777777" w:rsidR="00D2545F" w:rsidRPr="00D2545F" w:rsidRDefault="00D2545F" w:rsidP="0051653D">
      <w:pPr>
        <w:spacing w:after="100"/>
        <w:jc w:val="both"/>
        <w:rPr>
          <w:rFonts w:eastAsia="Times New Roman" w:cstheme="minorHAnsi"/>
        </w:rPr>
      </w:pPr>
    </w:p>
    <w:p w14:paraId="7D177FAB"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TECHNICAL VALIDATION*</w:t>
      </w:r>
    </w:p>
    <w:p w14:paraId="0989B6D0"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 xml:space="preserve">This section should present any procedure that is needed to support the technical quality of the data. It should justify the reliability of the presented data. This may include: experiments supporting or validating the data-collection procedure, statistical analyses of experiment errors and variation, phenotypic or genotypic assessments of biological samples, any procedure used to ensure reliable and unbiased data production, </w:t>
      </w:r>
      <w:proofErr w:type="spellStart"/>
      <w:r w:rsidRPr="00D2545F">
        <w:rPr>
          <w:rFonts w:eastAsia="Times New Roman" w:cstheme="minorHAnsi"/>
          <w:i/>
          <w:iCs/>
          <w:color w:val="38761D"/>
          <w:sz w:val="20"/>
          <w:szCs w:val="20"/>
        </w:rPr>
        <w:t>acclimatisation</w:t>
      </w:r>
      <w:proofErr w:type="spellEnd"/>
      <w:r w:rsidRPr="00D2545F">
        <w:rPr>
          <w:rFonts w:eastAsia="Times New Roman" w:cstheme="minorHAnsi"/>
          <w:i/>
          <w:iCs/>
          <w:color w:val="38761D"/>
          <w:sz w:val="20"/>
          <w:szCs w:val="20"/>
        </w:rPr>
        <w:t xml:space="preserve"> procedures to ensure the protection of personal data, </w:t>
      </w:r>
      <w:proofErr w:type="gramStart"/>
      <w:r w:rsidRPr="00D2545F">
        <w:rPr>
          <w:rFonts w:eastAsia="Times New Roman" w:cstheme="minorHAnsi"/>
          <w:i/>
          <w:iCs/>
          <w:color w:val="38761D"/>
          <w:sz w:val="20"/>
          <w:szCs w:val="20"/>
        </w:rPr>
        <w:t>etc..</w:t>
      </w:r>
      <w:proofErr w:type="gramEnd"/>
      <w:r w:rsidRPr="00D2545F">
        <w:rPr>
          <w:rFonts w:eastAsia="Times New Roman" w:cstheme="minorHAnsi"/>
          <w:i/>
          <w:iCs/>
          <w:color w:val="38761D"/>
          <w:sz w:val="20"/>
          <w:szCs w:val="20"/>
        </w:rPr>
        <w:t xml:space="preserve"> This should not include: follow-up experiments aimed at testing/supporting an interpretation of the data, statistical hypotheses testing, or exploratory computational analyses like clustering and annotation enrichment.</w:t>
      </w:r>
    </w:p>
    <w:p w14:paraId="291C9D09" w14:textId="77777777" w:rsidR="0077683D" w:rsidRPr="00D2545F" w:rsidRDefault="0077683D" w:rsidP="00585FE3">
      <w:pPr>
        <w:spacing w:before="240" w:after="120"/>
        <w:jc w:val="both"/>
        <w:outlineLvl w:val="1"/>
        <w:rPr>
          <w:rFonts w:eastAsia="Times New Roman" w:cstheme="minorHAnsi"/>
          <w:b/>
          <w:bCs/>
          <w:color w:val="000000"/>
          <w:sz w:val="28"/>
          <w:szCs w:val="28"/>
        </w:rPr>
      </w:pPr>
    </w:p>
    <w:p w14:paraId="72311C4C" w14:textId="74BA4601"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USAGE NOTES*</w:t>
      </w:r>
    </w:p>
    <w:p w14:paraId="6117925C"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This section should contain brief introductions to assist others with reuse of the presented data. This can include suggestions of software packages that are suitable for analyzing the presented data, or tips for further processing steps and for integrating or compare the presented data with other data.</w:t>
      </w:r>
    </w:p>
    <w:p w14:paraId="6056C2D7"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 xml:space="preserve">Under a subsection called “SPATIAL ANCHORING”, information should be provided that facilitates the spatial anchoring of the presented data into the HBP interactive atlas viewers. If possible, brain image data and coordinates should be provided not only in native space, but in one of the following brain reference spaces: </w:t>
      </w:r>
      <w:proofErr w:type="spellStart"/>
      <w:r w:rsidRPr="00D2545F">
        <w:rPr>
          <w:rFonts w:eastAsia="Times New Roman" w:cstheme="minorHAnsi"/>
          <w:i/>
          <w:iCs/>
          <w:color w:val="38761D"/>
          <w:sz w:val="20"/>
          <w:szCs w:val="20"/>
        </w:rPr>
        <w:t>BigBrain</w:t>
      </w:r>
      <w:proofErr w:type="spellEnd"/>
      <w:r w:rsidRPr="00D2545F">
        <w:rPr>
          <w:rFonts w:eastAsia="Times New Roman" w:cstheme="minorHAnsi"/>
          <w:i/>
          <w:iCs/>
          <w:color w:val="38761D"/>
          <w:sz w:val="20"/>
          <w:szCs w:val="20"/>
        </w:rPr>
        <w:t xml:space="preserve"> template [v1], MNI Colin27 [v1], MNI ICBM 152 [2009c, nonlinear, asymmetric], Infant brain template [v4.0], Allen Mouse CCF [v2 or v3], WHS SD atlas template [v2.0]. Semantic links preferred to brain regions of one of the following atlases: </w:t>
      </w:r>
      <w:proofErr w:type="spellStart"/>
      <w:r w:rsidRPr="00D2545F">
        <w:rPr>
          <w:rFonts w:eastAsia="Times New Roman" w:cstheme="minorHAnsi"/>
          <w:i/>
          <w:iCs/>
          <w:color w:val="38761D"/>
          <w:sz w:val="20"/>
          <w:szCs w:val="20"/>
        </w:rPr>
        <w:t>BigBrain</w:t>
      </w:r>
      <w:proofErr w:type="spellEnd"/>
      <w:r w:rsidRPr="00D2545F">
        <w:rPr>
          <w:rFonts w:eastAsia="Times New Roman" w:cstheme="minorHAnsi"/>
          <w:i/>
          <w:iCs/>
          <w:color w:val="38761D"/>
          <w:sz w:val="20"/>
          <w:szCs w:val="20"/>
        </w:rPr>
        <w:t xml:space="preserve"> </w:t>
      </w:r>
      <w:proofErr w:type="spellStart"/>
      <w:r w:rsidRPr="00D2545F">
        <w:rPr>
          <w:rFonts w:eastAsia="Times New Roman" w:cstheme="minorHAnsi"/>
          <w:i/>
          <w:iCs/>
          <w:color w:val="38761D"/>
          <w:sz w:val="20"/>
          <w:szCs w:val="20"/>
        </w:rPr>
        <w:t>parcellation</w:t>
      </w:r>
      <w:proofErr w:type="spellEnd"/>
      <w:r w:rsidRPr="00D2545F">
        <w:rPr>
          <w:rFonts w:eastAsia="Times New Roman" w:cstheme="minorHAnsi"/>
          <w:i/>
          <w:iCs/>
          <w:color w:val="38761D"/>
          <w:sz w:val="20"/>
          <w:szCs w:val="20"/>
        </w:rPr>
        <w:t xml:space="preserve"> [v1], </w:t>
      </w:r>
      <w:proofErr w:type="spellStart"/>
      <w:r w:rsidRPr="00D2545F">
        <w:rPr>
          <w:rFonts w:eastAsia="Times New Roman" w:cstheme="minorHAnsi"/>
          <w:i/>
          <w:iCs/>
          <w:color w:val="38761D"/>
          <w:sz w:val="20"/>
          <w:szCs w:val="20"/>
        </w:rPr>
        <w:t>JuBrain</w:t>
      </w:r>
      <w:proofErr w:type="spellEnd"/>
      <w:r w:rsidRPr="00D2545F">
        <w:rPr>
          <w:rFonts w:eastAsia="Times New Roman" w:cstheme="minorHAnsi"/>
          <w:i/>
          <w:iCs/>
          <w:color w:val="38761D"/>
          <w:sz w:val="20"/>
          <w:szCs w:val="20"/>
        </w:rPr>
        <w:t xml:space="preserve"> probabilistic </w:t>
      </w:r>
      <w:proofErr w:type="spellStart"/>
      <w:r w:rsidRPr="00D2545F">
        <w:rPr>
          <w:rFonts w:eastAsia="Times New Roman" w:cstheme="minorHAnsi"/>
          <w:i/>
          <w:iCs/>
          <w:color w:val="38761D"/>
          <w:sz w:val="20"/>
          <w:szCs w:val="20"/>
        </w:rPr>
        <w:t>cytoarchitectonic</w:t>
      </w:r>
      <w:proofErr w:type="spellEnd"/>
      <w:r w:rsidRPr="00D2545F">
        <w:rPr>
          <w:rFonts w:eastAsia="Times New Roman" w:cstheme="minorHAnsi"/>
          <w:i/>
          <w:iCs/>
          <w:color w:val="38761D"/>
          <w:sz w:val="20"/>
          <w:szCs w:val="20"/>
        </w:rPr>
        <w:t xml:space="preserve"> atlas [v18], Infant brain atlas [v4.0], Allen Adult Mouse Brain Reference Atlas [v2 or v3], WHS SD atlas [v2.0].</w:t>
      </w:r>
    </w:p>
    <w:p w14:paraId="1B012DFE" w14:textId="77777777" w:rsidR="00585FE3" w:rsidRPr="00D2545F" w:rsidRDefault="00585FE3" w:rsidP="00585FE3">
      <w:pPr>
        <w:spacing w:before="240" w:after="80"/>
        <w:jc w:val="both"/>
        <w:outlineLvl w:val="2"/>
        <w:rPr>
          <w:rFonts w:eastAsia="Times New Roman" w:cstheme="minorHAnsi"/>
          <w:b/>
          <w:bCs/>
          <w:sz w:val="27"/>
          <w:szCs w:val="27"/>
        </w:rPr>
      </w:pPr>
      <w:r w:rsidRPr="00D2545F">
        <w:rPr>
          <w:rFonts w:eastAsia="Times New Roman" w:cstheme="minorHAnsi"/>
          <w:b/>
          <w:bCs/>
          <w:color w:val="000000"/>
          <w:sz w:val="24"/>
          <w:szCs w:val="24"/>
        </w:rPr>
        <w:t>SPATIAL ANCHORING:</w:t>
      </w:r>
    </w:p>
    <w:p w14:paraId="35B0D971" w14:textId="77777777" w:rsidR="00716BE9" w:rsidRPr="00D2545F" w:rsidRDefault="00716BE9" w:rsidP="00585FE3">
      <w:pPr>
        <w:spacing w:before="240" w:after="120"/>
        <w:jc w:val="both"/>
        <w:outlineLvl w:val="1"/>
        <w:rPr>
          <w:rFonts w:eastAsia="Times New Roman" w:cstheme="minorHAnsi"/>
          <w:color w:val="000000"/>
        </w:rPr>
      </w:pPr>
    </w:p>
    <w:p w14:paraId="2DA2E18A" w14:textId="1BA8CC43"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DATA RECORDS*</w:t>
      </w:r>
    </w:p>
    <w:p w14:paraId="5CB33EFA"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This section should be used to explain the data presented in this descriptor and the repository where they are stored. This should include an overview of data files and formats, and potentially a short content description and file-internal data structure for each file type. Example of a mock-up repository overview:</w:t>
      </w:r>
    </w:p>
    <w:p w14:paraId="6383E079" w14:textId="77777777" w:rsidR="00585FE3" w:rsidRPr="00D2545F" w:rsidRDefault="00585FE3" w:rsidP="00585FE3">
      <w:pPr>
        <w:spacing w:after="80"/>
        <w:ind w:left="113"/>
        <w:jc w:val="both"/>
        <w:rPr>
          <w:rFonts w:eastAsia="Times New Roman" w:cstheme="minorHAnsi"/>
          <w:sz w:val="24"/>
          <w:szCs w:val="24"/>
        </w:rPr>
      </w:pPr>
      <w:r w:rsidRPr="00D2545F">
        <w:rPr>
          <w:rFonts w:eastAsia="Times New Roman" w:cstheme="minorHAnsi"/>
          <w:color w:val="38761D"/>
          <w:sz w:val="20"/>
          <w:szCs w:val="20"/>
        </w:rPr>
        <w:t>In the repository the data are stored in the following structure (incl. info on file content):</w:t>
      </w:r>
    </w:p>
    <w:p w14:paraId="55477220" w14:textId="77777777" w:rsidR="00585FE3" w:rsidRPr="00D2545F" w:rsidRDefault="00585FE3" w:rsidP="00585FE3">
      <w:pPr>
        <w:spacing w:after="40"/>
        <w:ind w:left="227"/>
        <w:jc w:val="both"/>
        <w:rPr>
          <w:rFonts w:eastAsia="Times New Roman" w:cstheme="minorHAnsi"/>
          <w:sz w:val="24"/>
          <w:szCs w:val="24"/>
        </w:rPr>
      </w:pPr>
      <w:r w:rsidRPr="00D2545F">
        <w:rPr>
          <w:rFonts w:eastAsia="Times New Roman" w:cstheme="minorHAnsi"/>
          <w:b/>
          <w:bCs/>
          <w:color w:val="38761D"/>
          <w:sz w:val="20"/>
          <w:szCs w:val="20"/>
        </w:rPr>
        <w:t>repository-root/</w:t>
      </w:r>
    </w:p>
    <w:p w14:paraId="30F20C3E" w14:textId="77777777" w:rsidR="00585FE3" w:rsidRPr="00D2545F" w:rsidRDefault="00585FE3" w:rsidP="00585FE3">
      <w:pPr>
        <w:spacing w:after="40"/>
        <w:ind w:left="340"/>
        <w:jc w:val="both"/>
        <w:rPr>
          <w:rFonts w:eastAsia="Times New Roman" w:cstheme="minorHAnsi"/>
          <w:sz w:val="24"/>
          <w:szCs w:val="24"/>
        </w:rPr>
      </w:pPr>
      <w:r w:rsidRPr="00D2545F">
        <w:rPr>
          <w:rFonts w:eastAsia="Times New Roman" w:cstheme="minorHAnsi"/>
          <w:b/>
          <w:bCs/>
          <w:color w:val="38761D"/>
          <w:sz w:val="20"/>
          <w:szCs w:val="20"/>
        </w:rPr>
        <w:t>data-descriptor.pdf</w:t>
      </w:r>
      <w:r w:rsidRPr="00D2545F">
        <w:rPr>
          <w:rFonts w:eastAsia="Times New Roman" w:cstheme="minorHAnsi"/>
          <w:i/>
          <w:iCs/>
          <w:color w:val="38761D"/>
          <w:sz w:val="20"/>
          <w:szCs w:val="20"/>
        </w:rPr>
        <w:t xml:space="preserve"> [contains a short description of the dataset</w:t>
      </w:r>
    </w:p>
    <w:p w14:paraId="50CC7F76" w14:textId="77777777" w:rsidR="00585FE3" w:rsidRPr="00D2545F" w:rsidRDefault="00585FE3" w:rsidP="00585FE3">
      <w:pPr>
        <w:spacing w:after="40"/>
        <w:ind w:left="340"/>
        <w:jc w:val="both"/>
        <w:rPr>
          <w:rFonts w:eastAsia="Times New Roman" w:cstheme="minorHAnsi"/>
          <w:sz w:val="24"/>
          <w:szCs w:val="24"/>
        </w:rPr>
      </w:pPr>
      <w:proofErr w:type="spellStart"/>
      <w:r w:rsidRPr="00D2545F">
        <w:rPr>
          <w:rFonts w:eastAsia="Times New Roman" w:cstheme="minorHAnsi"/>
          <w:b/>
          <w:bCs/>
          <w:color w:val="38761D"/>
          <w:sz w:val="20"/>
          <w:szCs w:val="20"/>
        </w:rPr>
        <w:t>sub_info.tsv</w:t>
      </w:r>
      <w:proofErr w:type="spellEnd"/>
      <w:r w:rsidRPr="00D2545F">
        <w:rPr>
          <w:rFonts w:eastAsia="Times New Roman" w:cstheme="minorHAnsi"/>
          <w:i/>
          <w:iCs/>
          <w:color w:val="38761D"/>
          <w:sz w:val="20"/>
          <w:szCs w:val="20"/>
        </w:rPr>
        <w:t xml:space="preserve"> [contains information on the subjects</w:t>
      </w:r>
    </w:p>
    <w:p w14:paraId="5042C302" w14:textId="77777777" w:rsidR="00585FE3" w:rsidRPr="00D2545F" w:rsidRDefault="00585FE3" w:rsidP="00585FE3">
      <w:pPr>
        <w:spacing w:after="40"/>
        <w:ind w:left="340"/>
        <w:jc w:val="both"/>
        <w:rPr>
          <w:rFonts w:eastAsia="Times New Roman" w:cstheme="minorHAnsi"/>
          <w:sz w:val="24"/>
          <w:szCs w:val="24"/>
        </w:rPr>
      </w:pPr>
      <w:r w:rsidRPr="00D2545F">
        <w:rPr>
          <w:rFonts w:eastAsia="Times New Roman" w:cstheme="minorHAnsi"/>
          <w:b/>
          <w:bCs/>
          <w:color w:val="38761D"/>
          <w:sz w:val="20"/>
          <w:szCs w:val="20"/>
        </w:rPr>
        <w:t>experimental-</w:t>
      </w:r>
      <w:proofErr w:type="spellStart"/>
      <w:r w:rsidRPr="00D2545F">
        <w:rPr>
          <w:rFonts w:eastAsia="Times New Roman" w:cstheme="minorHAnsi"/>
          <w:b/>
          <w:bCs/>
          <w:color w:val="38761D"/>
          <w:sz w:val="20"/>
          <w:szCs w:val="20"/>
        </w:rPr>
        <w:t>methods_</w:t>
      </w:r>
      <w:proofErr w:type="gramStart"/>
      <w:r w:rsidRPr="00D2545F">
        <w:rPr>
          <w:rFonts w:eastAsia="Times New Roman" w:cstheme="minorHAnsi"/>
          <w:b/>
          <w:bCs/>
          <w:color w:val="38761D"/>
          <w:sz w:val="20"/>
          <w:szCs w:val="20"/>
        </w:rPr>
        <w:t>info.json</w:t>
      </w:r>
      <w:proofErr w:type="spellEnd"/>
      <w:proofErr w:type="gramEnd"/>
      <w:r w:rsidRPr="00D2545F">
        <w:rPr>
          <w:rFonts w:eastAsia="Times New Roman" w:cstheme="minorHAnsi"/>
          <w:i/>
          <w:iCs/>
          <w:color w:val="38761D"/>
          <w:sz w:val="20"/>
          <w:szCs w:val="20"/>
        </w:rPr>
        <w:t xml:space="preserve"> [contains information on the applied experimental method]</w:t>
      </w:r>
    </w:p>
    <w:p w14:paraId="2C400835" w14:textId="77777777" w:rsidR="00585FE3" w:rsidRPr="00D2545F" w:rsidRDefault="00585FE3" w:rsidP="00585FE3">
      <w:pPr>
        <w:spacing w:after="40"/>
        <w:ind w:left="340"/>
        <w:jc w:val="both"/>
        <w:rPr>
          <w:rFonts w:eastAsia="Times New Roman" w:cstheme="minorHAnsi"/>
          <w:sz w:val="24"/>
          <w:szCs w:val="24"/>
        </w:rPr>
      </w:pPr>
      <w:r w:rsidRPr="00D2545F">
        <w:rPr>
          <w:rFonts w:eastAsia="Times New Roman" w:cstheme="minorHAnsi"/>
          <w:b/>
          <w:bCs/>
          <w:color w:val="38761D"/>
          <w:sz w:val="20"/>
          <w:szCs w:val="20"/>
        </w:rPr>
        <w:t>sub-XXX/</w:t>
      </w:r>
    </w:p>
    <w:p w14:paraId="2F87A2FC" w14:textId="77777777" w:rsidR="00585FE3" w:rsidRPr="00D2545F" w:rsidRDefault="00585FE3" w:rsidP="00585FE3">
      <w:pPr>
        <w:spacing w:after="40"/>
        <w:ind w:left="454"/>
        <w:jc w:val="both"/>
        <w:rPr>
          <w:rFonts w:eastAsia="Times New Roman" w:cstheme="minorHAnsi"/>
          <w:sz w:val="24"/>
          <w:szCs w:val="24"/>
        </w:rPr>
      </w:pPr>
      <w:r w:rsidRPr="00D2545F">
        <w:rPr>
          <w:rFonts w:eastAsia="Times New Roman" w:cstheme="minorHAnsi"/>
          <w:b/>
          <w:bCs/>
          <w:color w:val="38761D"/>
          <w:sz w:val="20"/>
          <w:szCs w:val="20"/>
        </w:rPr>
        <w:t>sub-</w:t>
      </w:r>
      <w:proofErr w:type="spellStart"/>
      <w:r w:rsidRPr="00D2545F">
        <w:rPr>
          <w:rFonts w:eastAsia="Times New Roman" w:cstheme="minorHAnsi"/>
          <w:b/>
          <w:bCs/>
          <w:color w:val="38761D"/>
          <w:sz w:val="20"/>
          <w:szCs w:val="20"/>
        </w:rPr>
        <w:t>XXX_slice</w:t>
      </w:r>
      <w:proofErr w:type="spellEnd"/>
      <w:r w:rsidRPr="00D2545F">
        <w:rPr>
          <w:rFonts w:eastAsia="Times New Roman" w:cstheme="minorHAnsi"/>
          <w:b/>
          <w:bCs/>
          <w:color w:val="38761D"/>
          <w:sz w:val="20"/>
          <w:szCs w:val="20"/>
        </w:rPr>
        <w:t>-</w:t>
      </w:r>
      <w:proofErr w:type="spellStart"/>
      <w:r w:rsidRPr="00D2545F">
        <w:rPr>
          <w:rFonts w:eastAsia="Times New Roman" w:cstheme="minorHAnsi"/>
          <w:b/>
          <w:bCs/>
          <w:color w:val="38761D"/>
          <w:sz w:val="20"/>
          <w:szCs w:val="20"/>
        </w:rPr>
        <w:t>XXXX.tif</w:t>
      </w:r>
      <w:proofErr w:type="spellEnd"/>
      <w:r w:rsidRPr="00D2545F">
        <w:rPr>
          <w:rFonts w:eastAsia="Times New Roman" w:cstheme="minorHAnsi"/>
          <w:i/>
          <w:iCs/>
          <w:color w:val="38761D"/>
          <w:sz w:val="20"/>
          <w:szCs w:val="20"/>
        </w:rPr>
        <w:t xml:space="preserve"> [brain slice scan of subject XXX; index XXXX equals physical slice position in µm, anterior to posterior]</w:t>
      </w:r>
    </w:p>
    <w:p w14:paraId="01846D33" w14:textId="77777777" w:rsidR="00585FE3" w:rsidRPr="00D2545F" w:rsidRDefault="00585FE3" w:rsidP="00585FE3">
      <w:pPr>
        <w:spacing w:after="40"/>
        <w:ind w:left="340"/>
        <w:jc w:val="both"/>
        <w:rPr>
          <w:rFonts w:eastAsia="Times New Roman" w:cstheme="minorHAnsi"/>
          <w:sz w:val="24"/>
          <w:szCs w:val="24"/>
        </w:rPr>
      </w:pPr>
      <w:r w:rsidRPr="00D2545F">
        <w:rPr>
          <w:rFonts w:eastAsia="Times New Roman" w:cstheme="minorHAnsi"/>
          <w:b/>
          <w:bCs/>
          <w:color w:val="38761D"/>
          <w:sz w:val="20"/>
          <w:szCs w:val="20"/>
        </w:rPr>
        <w:t>derived-data/</w:t>
      </w:r>
    </w:p>
    <w:p w14:paraId="505DF439" w14:textId="77777777" w:rsidR="00585FE3" w:rsidRPr="00D2545F" w:rsidRDefault="00585FE3" w:rsidP="00585FE3">
      <w:pPr>
        <w:spacing w:after="40"/>
        <w:ind w:left="454"/>
        <w:jc w:val="both"/>
        <w:rPr>
          <w:rFonts w:eastAsia="Times New Roman" w:cstheme="minorHAnsi"/>
          <w:sz w:val="24"/>
          <w:szCs w:val="24"/>
        </w:rPr>
      </w:pPr>
      <w:r w:rsidRPr="00D2545F">
        <w:rPr>
          <w:rFonts w:eastAsia="Times New Roman" w:cstheme="minorHAnsi"/>
          <w:b/>
          <w:bCs/>
          <w:color w:val="38761D"/>
          <w:sz w:val="20"/>
          <w:szCs w:val="20"/>
        </w:rPr>
        <w:t>analysis-</w:t>
      </w:r>
      <w:proofErr w:type="spellStart"/>
      <w:r w:rsidRPr="00D2545F">
        <w:rPr>
          <w:rFonts w:eastAsia="Times New Roman" w:cstheme="minorHAnsi"/>
          <w:b/>
          <w:bCs/>
          <w:color w:val="38761D"/>
          <w:sz w:val="20"/>
          <w:szCs w:val="20"/>
        </w:rPr>
        <w:t>methods_</w:t>
      </w:r>
      <w:proofErr w:type="gramStart"/>
      <w:r w:rsidRPr="00D2545F">
        <w:rPr>
          <w:rFonts w:eastAsia="Times New Roman" w:cstheme="minorHAnsi"/>
          <w:b/>
          <w:bCs/>
          <w:color w:val="38761D"/>
          <w:sz w:val="20"/>
          <w:szCs w:val="20"/>
        </w:rPr>
        <w:t>info.json</w:t>
      </w:r>
      <w:proofErr w:type="spellEnd"/>
      <w:proofErr w:type="gramEnd"/>
      <w:r w:rsidRPr="00D2545F">
        <w:rPr>
          <w:rFonts w:eastAsia="Times New Roman" w:cstheme="minorHAnsi"/>
          <w:i/>
          <w:iCs/>
          <w:color w:val="38761D"/>
          <w:sz w:val="20"/>
          <w:szCs w:val="20"/>
        </w:rPr>
        <w:t xml:space="preserve"> [contains information on the applied analysis methods]</w:t>
      </w:r>
    </w:p>
    <w:p w14:paraId="3F6F1F7A" w14:textId="77777777" w:rsidR="00585FE3" w:rsidRPr="00D2545F" w:rsidRDefault="00585FE3" w:rsidP="00585FE3">
      <w:pPr>
        <w:spacing w:after="40"/>
        <w:ind w:left="454"/>
        <w:jc w:val="both"/>
        <w:rPr>
          <w:rFonts w:eastAsia="Times New Roman" w:cstheme="minorHAnsi"/>
          <w:sz w:val="24"/>
          <w:szCs w:val="24"/>
        </w:rPr>
      </w:pPr>
      <w:proofErr w:type="gramStart"/>
      <w:r w:rsidRPr="00D2545F">
        <w:rPr>
          <w:rFonts w:eastAsia="Times New Roman" w:cstheme="minorHAnsi"/>
          <w:b/>
          <w:bCs/>
          <w:color w:val="38761D"/>
          <w:sz w:val="20"/>
          <w:szCs w:val="20"/>
        </w:rPr>
        <w:t>analysis</w:t>
      </w:r>
      <w:proofErr w:type="gramEnd"/>
      <w:r w:rsidRPr="00D2545F">
        <w:rPr>
          <w:rFonts w:eastAsia="Times New Roman" w:cstheme="minorHAnsi"/>
          <w:b/>
          <w:bCs/>
          <w:color w:val="38761D"/>
          <w:sz w:val="20"/>
          <w:szCs w:val="20"/>
        </w:rPr>
        <w:t>-X/</w:t>
      </w:r>
    </w:p>
    <w:p w14:paraId="2517586C" w14:textId="77777777" w:rsidR="00585FE3" w:rsidRPr="00D2545F" w:rsidRDefault="00585FE3" w:rsidP="00585FE3">
      <w:pPr>
        <w:spacing w:after="40"/>
        <w:ind w:left="567"/>
        <w:jc w:val="both"/>
        <w:rPr>
          <w:rFonts w:eastAsia="Times New Roman" w:cstheme="minorHAnsi"/>
          <w:sz w:val="24"/>
          <w:szCs w:val="24"/>
        </w:rPr>
      </w:pPr>
      <w:r w:rsidRPr="00D2545F">
        <w:rPr>
          <w:rFonts w:eastAsia="Times New Roman" w:cstheme="minorHAnsi"/>
          <w:b/>
          <w:bCs/>
          <w:color w:val="38761D"/>
          <w:sz w:val="20"/>
          <w:szCs w:val="20"/>
        </w:rPr>
        <w:t>analysis-</w:t>
      </w:r>
      <w:proofErr w:type="spellStart"/>
      <w:r w:rsidRPr="00D2545F">
        <w:rPr>
          <w:rFonts w:eastAsia="Times New Roman" w:cstheme="minorHAnsi"/>
          <w:b/>
          <w:bCs/>
          <w:color w:val="38761D"/>
          <w:sz w:val="20"/>
          <w:szCs w:val="20"/>
        </w:rPr>
        <w:t>X_set</w:t>
      </w:r>
      <w:proofErr w:type="spellEnd"/>
      <w:r w:rsidRPr="00D2545F">
        <w:rPr>
          <w:rFonts w:eastAsia="Times New Roman" w:cstheme="minorHAnsi"/>
          <w:b/>
          <w:bCs/>
          <w:color w:val="38761D"/>
          <w:sz w:val="20"/>
          <w:szCs w:val="20"/>
        </w:rPr>
        <w:t>-</w:t>
      </w:r>
      <w:proofErr w:type="spellStart"/>
      <w:r w:rsidRPr="00D2545F">
        <w:rPr>
          <w:rFonts w:eastAsia="Times New Roman" w:cstheme="minorHAnsi"/>
          <w:b/>
          <w:bCs/>
          <w:color w:val="38761D"/>
          <w:sz w:val="20"/>
          <w:szCs w:val="20"/>
        </w:rPr>
        <w:t>X.tsv</w:t>
      </w:r>
      <w:proofErr w:type="spellEnd"/>
      <w:r w:rsidRPr="00D2545F">
        <w:rPr>
          <w:rFonts w:eastAsia="Times New Roman" w:cstheme="minorHAnsi"/>
          <w:i/>
          <w:iCs/>
          <w:color w:val="38761D"/>
          <w:sz w:val="20"/>
          <w:szCs w:val="20"/>
        </w:rPr>
        <w:t xml:space="preserve"> [contains result data of analysis X]</w:t>
      </w:r>
    </w:p>
    <w:p w14:paraId="0BA7FD8E" w14:textId="77777777" w:rsidR="00585FE3" w:rsidRPr="00D2545F" w:rsidRDefault="00585FE3" w:rsidP="00585FE3">
      <w:pPr>
        <w:spacing w:after="40"/>
        <w:ind w:left="340"/>
        <w:jc w:val="both"/>
        <w:rPr>
          <w:rFonts w:eastAsia="Times New Roman" w:cstheme="minorHAnsi"/>
          <w:sz w:val="24"/>
          <w:szCs w:val="24"/>
        </w:rPr>
      </w:pPr>
      <w:r w:rsidRPr="00D2545F">
        <w:rPr>
          <w:rFonts w:eastAsia="Times New Roman" w:cstheme="minorHAnsi"/>
          <w:b/>
          <w:bCs/>
          <w:color w:val="38761D"/>
          <w:sz w:val="20"/>
          <w:szCs w:val="20"/>
        </w:rPr>
        <w:t>code/</w:t>
      </w:r>
    </w:p>
    <w:p w14:paraId="46B6EDA7" w14:textId="77777777" w:rsidR="00585FE3" w:rsidRPr="00D2545F" w:rsidRDefault="00585FE3" w:rsidP="00585FE3">
      <w:pPr>
        <w:spacing w:after="40"/>
        <w:ind w:left="454"/>
        <w:jc w:val="both"/>
        <w:rPr>
          <w:rFonts w:eastAsia="Times New Roman" w:cstheme="minorHAnsi"/>
          <w:sz w:val="24"/>
          <w:szCs w:val="24"/>
        </w:rPr>
      </w:pPr>
      <w:r w:rsidRPr="00D2545F">
        <w:rPr>
          <w:rFonts w:eastAsia="Times New Roman" w:cstheme="minorHAnsi"/>
          <w:b/>
          <w:bCs/>
          <w:color w:val="38761D"/>
          <w:sz w:val="20"/>
          <w:szCs w:val="20"/>
        </w:rPr>
        <w:lastRenderedPageBreak/>
        <w:t>analysis-X.py</w:t>
      </w:r>
      <w:r w:rsidRPr="00D2545F">
        <w:rPr>
          <w:rFonts w:eastAsia="Times New Roman" w:cstheme="minorHAnsi"/>
          <w:i/>
          <w:iCs/>
          <w:color w:val="38761D"/>
          <w:sz w:val="20"/>
          <w:szCs w:val="20"/>
        </w:rPr>
        <w:t xml:space="preserve"> [script that produces result data of analysis X]</w:t>
      </w:r>
    </w:p>
    <w:p w14:paraId="72C7FAEE" w14:textId="77777777" w:rsidR="00585FE3" w:rsidRPr="00D2545F" w:rsidRDefault="00585FE3" w:rsidP="00585FE3">
      <w:pPr>
        <w:spacing w:after="40"/>
        <w:ind w:left="113"/>
        <w:jc w:val="both"/>
        <w:rPr>
          <w:rFonts w:eastAsia="Times New Roman" w:cstheme="minorHAnsi"/>
          <w:sz w:val="24"/>
          <w:szCs w:val="24"/>
        </w:rPr>
      </w:pPr>
      <w:r w:rsidRPr="00D2545F">
        <w:rPr>
          <w:rFonts w:eastAsia="Times New Roman" w:cstheme="minorHAnsi"/>
          <w:color w:val="38761D"/>
          <w:sz w:val="20"/>
          <w:szCs w:val="20"/>
        </w:rPr>
        <w:t>Information on used file formats and file-internal data structures:</w:t>
      </w:r>
    </w:p>
    <w:p w14:paraId="7CF25F70" w14:textId="77777777" w:rsidR="00585FE3" w:rsidRPr="00D2545F" w:rsidRDefault="00585FE3" w:rsidP="00585FE3">
      <w:pPr>
        <w:spacing w:after="40"/>
        <w:ind w:left="227"/>
        <w:jc w:val="both"/>
        <w:rPr>
          <w:rFonts w:eastAsia="Times New Roman" w:cstheme="minorHAnsi"/>
          <w:sz w:val="24"/>
          <w:szCs w:val="24"/>
        </w:rPr>
      </w:pPr>
      <w:r w:rsidRPr="00D2545F">
        <w:rPr>
          <w:rFonts w:eastAsia="Times New Roman" w:cstheme="minorHAnsi"/>
          <w:b/>
          <w:bCs/>
          <w:color w:val="38761D"/>
          <w:sz w:val="20"/>
          <w:szCs w:val="20"/>
        </w:rPr>
        <w:t>Tab-Separated Value format (</w:t>
      </w:r>
      <w:proofErr w:type="spellStart"/>
      <w:r w:rsidRPr="00D2545F">
        <w:rPr>
          <w:rFonts w:eastAsia="Times New Roman" w:cstheme="minorHAnsi"/>
          <w:b/>
          <w:bCs/>
          <w:color w:val="38761D"/>
          <w:sz w:val="20"/>
          <w:szCs w:val="20"/>
        </w:rPr>
        <w:t>tsv</w:t>
      </w:r>
      <w:proofErr w:type="spellEnd"/>
      <w:r w:rsidRPr="00D2545F">
        <w:rPr>
          <w:rFonts w:eastAsia="Times New Roman" w:cstheme="minorHAnsi"/>
          <w:b/>
          <w:bCs/>
          <w:color w:val="38761D"/>
          <w:sz w:val="20"/>
          <w:szCs w:val="20"/>
        </w:rPr>
        <w:t xml:space="preserve">): </w:t>
      </w:r>
      <w:r w:rsidRPr="00D2545F">
        <w:rPr>
          <w:rFonts w:eastAsia="Times New Roman" w:cstheme="minorHAnsi"/>
          <w:i/>
          <w:iCs/>
          <w:color w:val="38761D"/>
          <w:sz w:val="20"/>
          <w:szCs w:val="20"/>
        </w:rPr>
        <w:t>labels in first row; data of same type in columns</w:t>
      </w:r>
    </w:p>
    <w:p w14:paraId="794449F0" w14:textId="77777777" w:rsidR="00585FE3" w:rsidRPr="00D2545F" w:rsidRDefault="00585FE3" w:rsidP="00585FE3">
      <w:pPr>
        <w:spacing w:after="40"/>
        <w:ind w:left="227"/>
        <w:jc w:val="both"/>
        <w:rPr>
          <w:rFonts w:eastAsia="Times New Roman" w:cstheme="minorHAnsi"/>
          <w:sz w:val="24"/>
          <w:szCs w:val="24"/>
        </w:rPr>
      </w:pPr>
      <w:r w:rsidRPr="00D2545F">
        <w:rPr>
          <w:rFonts w:eastAsia="Times New Roman" w:cstheme="minorHAnsi"/>
          <w:b/>
          <w:bCs/>
          <w:color w:val="38761D"/>
          <w:sz w:val="20"/>
          <w:szCs w:val="20"/>
        </w:rPr>
        <w:t>JavaScript Object Notation (</w:t>
      </w:r>
      <w:proofErr w:type="spellStart"/>
      <w:r w:rsidRPr="00D2545F">
        <w:rPr>
          <w:rFonts w:eastAsia="Times New Roman" w:cstheme="minorHAnsi"/>
          <w:b/>
          <w:bCs/>
          <w:color w:val="38761D"/>
          <w:sz w:val="20"/>
          <w:szCs w:val="20"/>
        </w:rPr>
        <w:t>json</w:t>
      </w:r>
      <w:proofErr w:type="spellEnd"/>
      <w:r w:rsidRPr="00D2545F">
        <w:rPr>
          <w:rFonts w:eastAsia="Times New Roman" w:cstheme="minorHAnsi"/>
          <w:b/>
          <w:bCs/>
          <w:color w:val="38761D"/>
          <w:sz w:val="20"/>
          <w:szCs w:val="20"/>
        </w:rPr>
        <w:t xml:space="preserve">): </w:t>
      </w:r>
      <w:r w:rsidRPr="00D2545F">
        <w:rPr>
          <w:rFonts w:eastAsia="Times New Roman" w:cstheme="minorHAnsi"/>
          <w:i/>
          <w:iCs/>
          <w:color w:val="38761D"/>
          <w:sz w:val="20"/>
          <w:szCs w:val="20"/>
        </w:rPr>
        <w:t>nested key-value pairs [cf. templates in xx]</w:t>
      </w:r>
    </w:p>
    <w:p w14:paraId="4BD57EF0" w14:textId="77777777" w:rsidR="00585FE3" w:rsidRPr="00D2545F" w:rsidRDefault="00585FE3" w:rsidP="00585FE3">
      <w:pPr>
        <w:spacing w:after="40"/>
        <w:ind w:left="227"/>
        <w:jc w:val="both"/>
        <w:rPr>
          <w:rFonts w:eastAsia="Times New Roman" w:cstheme="minorHAnsi"/>
          <w:sz w:val="24"/>
          <w:szCs w:val="24"/>
        </w:rPr>
      </w:pPr>
      <w:r w:rsidRPr="00D2545F">
        <w:rPr>
          <w:rFonts w:eastAsia="Times New Roman" w:cstheme="minorHAnsi"/>
          <w:b/>
          <w:bCs/>
          <w:color w:val="38761D"/>
          <w:sz w:val="20"/>
          <w:szCs w:val="20"/>
        </w:rPr>
        <w:t>Tagged Image Format File (</w:t>
      </w:r>
      <w:proofErr w:type="spellStart"/>
      <w:r w:rsidRPr="00D2545F">
        <w:rPr>
          <w:rFonts w:eastAsia="Times New Roman" w:cstheme="minorHAnsi"/>
          <w:b/>
          <w:bCs/>
          <w:color w:val="38761D"/>
          <w:sz w:val="20"/>
          <w:szCs w:val="20"/>
        </w:rPr>
        <w:t>tif</w:t>
      </w:r>
      <w:proofErr w:type="spellEnd"/>
      <w:r w:rsidRPr="00D2545F">
        <w:rPr>
          <w:rFonts w:eastAsia="Times New Roman" w:cstheme="minorHAnsi"/>
          <w:b/>
          <w:bCs/>
          <w:color w:val="38761D"/>
          <w:sz w:val="20"/>
          <w:szCs w:val="20"/>
        </w:rPr>
        <w:t xml:space="preserve">): </w:t>
      </w:r>
      <w:r w:rsidRPr="00D2545F">
        <w:rPr>
          <w:rFonts w:eastAsia="Times New Roman" w:cstheme="minorHAnsi"/>
          <w:i/>
          <w:iCs/>
          <w:color w:val="38761D"/>
          <w:sz w:val="20"/>
          <w:szCs w:val="20"/>
        </w:rPr>
        <w:t>100µm thickness; 1x1 pixel dimension; unit in µm</w:t>
      </w:r>
    </w:p>
    <w:p w14:paraId="587395AD" w14:textId="77777777" w:rsidR="00585FE3" w:rsidRPr="00D2545F" w:rsidRDefault="00585FE3" w:rsidP="00585FE3">
      <w:pPr>
        <w:spacing w:after="80"/>
        <w:ind w:left="227"/>
        <w:jc w:val="both"/>
        <w:rPr>
          <w:rFonts w:eastAsia="Times New Roman" w:cstheme="minorHAnsi"/>
          <w:sz w:val="24"/>
          <w:szCs w:val="24"/>
        </w:rPr>
      </w:pPr>
      <w:r w:rsidRPr="00D2545F">
        <w:rPr>
          <w:rFonts w:eastAsia="Times New Roman" w:cstheme="minorHAnsi"/>
          <w:b/>
          <w:bCs/>
          <w:color w:val="38761D"/>
          <w:sz w:val="20"/>
          <w:szCs w:val="20"/>
        </w:rPr>
        <w:t>Python Script (</w:t>
      </w:r>
      <w:proofErr w:type="spellStart"/>
      <w:r w:rsidRPr="00D2545F">
        <w:rPr>
          <w:rFonts w:eastAsia="Times New Roman" w:cstheme="minorHAnsi"/>
          <w:b/>
          <w:bCs/>
          <w:color w:val="38761D"/>
          <w:sz w:val="20"/>
          <w:szCs w:val="20"/>
        </w:rPr>
        <w:t>py</w:t>
      </w:r>
      <w:proofErr w:type="spellEnd"/>
      <w:r w:rsidRPr="00D2545F">
        <w:rPr>
          <w:rFonts w:eastAsia="Times New Roman" w:cstheme="minorHAnsi"/>
          <w:b/>
          <w:bCs/>
          <w:color w:val="38761D"/>
          <w:sz w:val="20"/>
          <w:szCs w:val="20"/>
        </w:rPr>
        <w:t xml:space="preserve">): </w:t>
      </w:r>
      <w:r w:rsidRPr="00D2545F">
        <w:rPr>
          <w:rFonts w:eastAsia="Times New Roman" w:cstheme="minorHAnsi"/>
          <w:i/>
          <w:iCs/>
          <w:color w:val="38761D"/>
          <w:sz w:val="20"/>
          <w:szCs w:val="20"/>
        </w:rPr>
        <w:t>Python 3.0 script</w:t>
      </w:r>
    </w:p>
    <w:p w14:paraId="0C049E27" w14:textId="77777777" w:rsidR="0077683D" w:rsidRPr="00D2545F" w:rsidRDefault="0077683D" w:rsidP="0077683D">
      <w:pPr>
        <w:jc w:val="both"/>
        <w:rPr>
          <w:rFonts w:eastAsia="Times New Roman" w:cstheme="minorHAnsi"/>
          <w:color w:val="000000" w:themeColor="text1"/>
        </w:rPr>
      </w:pPr>
    </w:p>
    <w:p w14:paraId="58881BEF" w14:textId="77777777" w:rsidR="002677C5" w:rsidRPr="00644C57" w:rsidRDefault="002677C5" w:rsidP="002677C5">
      <w:pPr>
        <w:jc w:val="both"/>
        <w:rPr>
          <w:rFonts w:eastAsia="Times New Roman" w:cstheme="minorHAnsi"/>
          <w:color w:val="000000" w:themeColor="text1"/>
        </w:rPr>
      </w:pPr>
      <w:r w:rsidRPr="00644C57">
        <w:rPr>
          <w:rFonts w:eastAsia="Times New Roman" w:cstheme="minorHAnsi"/>
          <w:color w:val="000000" w:themeColor="text1"/>
        </w:rPr>
        <w:t xml:space="preserve">In the repository, the data are stored under an excel format. </w:t>
      </w:r>
    </w:p>
    <w:p w14:paraId="78A48A12" w14:textId="517EAA8A" w:rsidR="002677C5" w:rsidRPr="00644C57" w:rsidRDefault="002677C5" w:rsidP="002677C5">
      <w:pPr>
        <w:jc w:val="both"/>
        <w:rPr>
          <w:rFonts w:eastAsia="Times New Roman" w:cstheme="minorHAnsi"/>
          <w:color w:val="000000" w:themeColor="text1"/>
        </w:rPr>
      </w:pPr>
      <w:r w:rsidRPr="00644C57">
        <w:rPr>
          <w:rFonts w:eastAsia="Times New Roman" w:cstheme="minorHAnsi"/>
          <w:color w:val="000000" w:themeColor="text1"/>
          <w:u w:val="single"/>
        </w:rPr>
        <w:t>The datasheet ‘</w:t>
      </w:r>
      <w:r w:rsidR="00E928FE" w:rsidRPr="00644C57">
        <w:rPr>
          <w:rFonts w:eastAsia="Times New Roman" w:cstheme="minorHAnsi"/>
          <w:color w:val="000000" w:themeColor="text1"/>
          <w:u w:val="single"/>
        </w:rPr>
        <w:t>ASO delivery optimization’</w:t>
      </w:r>
      <w:r w:rsidRPr="00644C57">
        <w:rPr>
          <w:rFonts w:eastAsia="Times New Roman" w:cstheme="minorHAnsi"/>
          <w:color w:val="000000" w:themeColor="text1"/>
          <w:u w:val="single"/>
        </w:rPr>
        <w:t xml:space="preserve"> contains </w:t>
      </w:r>
      <w:r w:rsidR="00195A90">
        <w:rPr>
          <w:rFonts w:eastAsia="Times New Roman" w:cstheme="minorHAnsi"/>
          <w:color w:val="000000" w:themeColor="text1"/>
          <w:u w:val="single"/>
        </w:rPr>
        <w:t>6</w:t>
      </w:r>
      <w:r w:rsidR="00E928FE" w:rsidRPr="00644C57">
        <w:rPr>
          <w:rFonts w:eastAsia="Times New Roman" w:cstheme="minorHAnsi"/>
          <w:color w:val="000000" w:themeColor="text1"/>
          <w:u w:val="single"/>
        </w:rPr>
        <w:t xml:space="preserve"> </w:t>
      </w:r>
      <w:r w:rsidRPr="00644C57">
        <w:rPr>
          <w:rFonts w:eastAsia="Times New Roman" w:cstheme="minorHAnsi"/>
          <w:color w:val="000000" w:themeColor="text1"/>
          <w:u w:val="single"/>
        </w:rPr>
        <w:t>sheets</w:t>
      </w:r>
      <w:r w:rsidRPr="00644C57">
        <w:rPr>
          <w:rFonts w:eastAsia="Times New Roman" w:cstheme="minorHAnsi"/>
          <w:color w:val="000000" w:themeColor="text1"/>
        </w:rPr>
        <w:t>:</w:t>
      </w:r>
    </w:p>
    <w:p w14:paraId="5B51C41B" w14:textId="77777777" w:rsidR="002677C5" w:rsidRPr="00644C57" w:rsidRDefault="002677C5" w:rsidP="002677C5">
      <w:pPr>
        <w:jc w:val="both"/>
        <w:rPr>
          <w:rFonts w:eastAsia="Times New Roman" w:cstheme="minorHAnsi"/>
          <w:color w:val="000000" w:themeColor="text1"/>
        </w:rPr>
      </w:pPr>
    </w:p>
    <w:p w14:paraId="6ADD2B7A" w14:textId="5A58139A" w:rsidR="002677C5" w:rsidRPr="00644C57" w:rsidRDefault="002677C5" w:rsidP="002677C5">
      <w:pPr>
        <w:rPr>
          <w:rFonts w:eastAsia="Times New Roman" w:cstheme="minorHAnsi"/>
          <w:color w:val="000000" w:themeColor="text1"/>
        </w:rPr>
      </w:pPr>
      <w:r w:rsidRPr="00644C57">
        <w:rPr>
          <w:rFonts w:eastAsia="Times New Roman" w:cstheme="minorHAnsi"/>
          <w:color w:val="000000" w:themeColor="text1"/>
        </w:rPr>
        <w:t xml:space="preserve">1- Summary of metadata </w:t>
      </w:r>
    </w:p>
    <w:p w14:paraId="5FADB030" w14:textId="03615763" w:rsidR="002677C5" w:rsidRPr="00644C57" w:rsidRDefault="002677C5" w:rsidP="002677C5">
      <w:pPr>
        <w:rPr>
          <w:rFonts w:eastAsia="Times New Roman" w:cstheme="minorHAnsi"/>
          <w:color w:val="000000" w:themeColor="text1"/>
        </w:rPr>
      </w:pPr>
      <w:bookmarkStart w:id="2" w:name="_GoBack"/>
      <w:bookmarkEnd w:id="2"/>
      <w:r w:rsidRPr="00644C57">
        <w:rPr>
          <w:rFonts w:eastAsia="Times New Roman" w:cstheme="minorHAnsi"/>
          <w:color w:val="000000" w:themeColor="text1"/>
        </w:rPr>
        <w:t xml:space="preserve">2- </w:t>
      </w:r>
      <w:r w:rsidR="00E928FE" w:rsidRPr="00644C57">
        <w:rPr>
          <w:rFonts w:eastAsia="Times New Roman" w:cstheme="minorHAnsi"/>
          <w:color w:val="000000" w:themeColor="text1"/>
        </w:rPr>
        <w:t>ICV skipping %</w:t>
      </w:r>
    </w:p>
    <w:p w14:paraId="254CFC1A" w14:textId="2AE4F847" w:rsidR="002677C5" w:rsidRPr="00644C57" w:rsidRDefault="002677C5" w:rsidP="002677C5">
      <w:pPr>
        <w:rPr>
          <w:rFonts w:eastAsia="Times New Roman" w:cstheme="minorHAnsi"/>
          <w:color w:val="000000" w:themeColor="text1"/>
        </w:rPr>
      </w:pPr>
      <w:r w:rsidRPr="00644C57">
        <w:rPr>
          <w:rFonts w:eastAsia="Times New Roman" w:cstheme="minorHAnsi"/>
          <w:color w:val="000000" w:themeColor="text1"/>
        </w:rPr>
        <w:t>3-</w:t>
      </w:r>
      <w:r w:rsidR="00E928FE" w:rsidRPr="00644C57">
        <w:rPr>
          <w:rFonts w:eastAsia="Times New Roman" w:cstheme="minorHAnsi"/>
          <w:color w:val="000000" w:themeColor="text1"/>
        </w:rPr>
        <w:t xml:space="preserve"> </w:t>
      </w:r>
      <w:r w:rsidR="00554E37">
        <w:rPr>
          <w:rFonts w:eastAsia="Times New Roman" w:cstheme="minorHAnsi"/>
          <w:color w:val="000000" w:themeColor="text1"/>
        </w:rPr>
        <w:t>Repeated</w:t>
      </w:r>
      <w:r w:rsidRPr="00644C57">
        <w:rPr>
          <w:rFonts w:eastAsia="Times New Roman" w:cstheme="minorHAnsi"/>
          <w:color w:val="000000" w:themeColor="text1"/>
        </w:rPr>
        <w:t xml:space="preserve"> </w:t>
      </w:r>
      <w:r w:rsidR="00E928FE" w:rsidRPr="00644C57">
        <w:rPr>
          <w:rFonts w:eastAsia="Times New Roman" w:cstheme="minorHAnsi"/>
          <w:color w:val="000000" w:themeColor="text1"/>
        </w:rPr>
        <w:t>ICV skipping %</w:t>
      </w:r>
    </w:p>
    <w:p w14:paraId="1570430C" w14:textId="5A09D955" w:rsidR="002677C5" w:rsidRPr="00644C57" w:rsidRDefault="002677C5" w:rsidP="002677C5">
      <w:pPr>
        <w:rPr>
          <w:rFonts w:eastAsia="Times New Roman" w:cstheme="minorHAnsi"/>
          <w:color w:val="000000" w:themeColor="text1"/>
        </w:rPr>
      </w:pPr>
      <w:r w:rsidRPr="00644C57">
        <w:rPr>
          <w:rFonts w:eastAsia="Times New Roman" w:cstheme="minorHAnsi"/>
          <w:color w:val="000000" w:themeColor="text1"/>
        </w:rPr>
        <w:t xml:space="preserve">4- </w:t>
      </w:r>
      <w:r w:rsidR="00E928FE" w:rsidRPr="00644C57">
        <w:rPr>
          <w:rFonts w:eastAsia="Times New Roman" w:cstheme="minorHAnsi"/>
          <w:color w:val="000000" w:themeColor="text1"/>
        </w:rPr>
        <w:t>ICM skipping %</w:t>
      </w:r>
    </w:p>
    <w:p w14:paraId="11DB045A" w14:textId="565CAA43" w:rsidR="00E928FE" w:rsidRPr="00644C57" w:rsidRDefault="00E928FE" w:rsidP="00E928FE">
      <w:pPr>
        <w:rPr>
          <w:rFonts w:eastAsia="Times New Roman" w:cstheme="minorHAnsi"/>
          <w:color w:val="000000" w:themeColor="text1"/>
        </w:rPr>
      </w:pPr>
      <w:r w:rsidRPr="00644C57">
        <w:rPr>
          <w:rFonts w:eastAsia="Times New Roman" w:cstheme="minorHAnsi"/>
          <w:color w:val="000000" w:themeColor="text1"/>
        </w:rPr>
        <w:t xml:space="preserve">5- </w:t>
      </w:r>
      <w:r w:rsidR="00554E37">
        <w:rPr>
          <w:rFonts w:eastAsia="Times New Roman" w:cstheme="minorHAnsi"/>
          <w:color w:val="000000" w:themeColor="text1"/>
        </w:rPr>
        <w:t>Repeated</w:t>
      </w:r>
      <w:r w:rsidRPr="00644C57">
        <w:rPr>
          <w:rFonts w:eastAsia="Times New Roman" w:cstheme="minorHAnsi"/>
          <w:color w:val="000000" w:themeColor="text1"/>
        </w:rPr>
        <w:t xml:space="preserve"> ICM skipping %</w:t>
      </w:r>
    </w:p>
    <w:p w14:paraId="39DFB680" w14:textId="1EDDA2F3" w:rsidR="00644C57" w:rsidRPr="00644C57" w:rsidRDefault="00644C57" w:rsidP="00E928FE">
      <w:pPr>
        <w:rPr>
          <w:rFonts w:eastAsia="Times New Roman" w:cstheme="minorHAnsi"/>
          <w:color w:val="000000" w:themeColor="text1"/>
        </w:rPr>
      </w:pPr>
      <w:r w:rsidRPr="00644C57">
        <w:rPr>
          <w:rFonts w:eastAsia="Times New Roman" w:cstheme="minorHAnsi"/>
          <w:color w:val="000000" w:themeColor="text1"/>
        </w:rPr>
        <w:t>6- Combined ICM+ICV skipping %</w:t>
      </w:r>
    </w:p>
    <w:p w14:paraId="467F0476" w14:textId="77777777" w:rsidR="00E928FE" w:rsidRPr="00644C57" w:rsidRDefault="00E928FE" w:rsidP="002677C5">
      <w:pPr>
        <w:rPr>
          <w:rFonts w:eastAsia="Times New Roman" w:cstheme="minorHAnsi"/>
          <w:color w:val="000000" w:themeColor="text1"/>
        </w:rPr>
      </w:pPr>
    </w:p>
    <w:p w14:paraId="0EC8CF6C" w14:textId="77777777" w:rsidR="002677C5" w:rsidRPr="00D2545F" w:rsidRDefault="002677C5" w:rsidP="002677C5">
      <w:pPr>
        <w:rPr>
          <w:rFonts w:eastAsia="Times New Roman" w:cstheme="minorHAnsi"/>
          <w:color w:val="000000" w:themeColor="text1"/>
          <w:highlight w:val="yellow"/>
        </w:rPr>
      </w:pPr>
    </w:p>
    <w:p w14:paraId="5E179306" w14:textId="77777777" w:rsidR="002677C5" w:rsidRPr="00D2545F" w:rsidRDefault="002677C5" w:rsidP="002677C5">
      <w:pPr>
        <w:jc w:val="both"/>
        <w:rPr>
          <w:rFonts w:eastAsia="Times New Roman" w:cstheme="minorHAnsi"/>
          <w:color w:val="000000" w:themeColor="text1"/>
          <w:highlight w:val="yellow"/>
        </w:rPr>
      </w:pPr>
    </w:p>
    <w:p w14:paraId="4970381A" w14:textId="77777777" w:rsidR="002677C5" w:rsidRPr="00D2545F" w:rsidRDefault="002677C5" w:rsidP="002677C5">
      <w:pPr>
        <w:jc w:val="both"/>
        <w:rPr>
          <w:rFonts w:eastAsia="Times New Roman" w:cstheme="minorHAnsi"/>
          <w:color w:val="000000" w:themeColor="text1"/>
        </w:rPr>
      </w:pPr>
      <w:r w:rsidRPr="00D2545F">
        <w:rPr>
          <w:rFonts w:eastAsia="Times New Roman" w:cstheme="minorHAnsi"/>
          <w:color w:val="000000" w:themeColor="text1"/>
        </w:rPr>
        <w:t xml:space="preserve">In each sheet, the subject and the tissue samples are organized in lines. </w:t>
      </w:r>
    </w:p>
    <w:p w14:paraId="2F5BDA57"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CODE AVAILABILITY*</w:t>
      </w:r>
    </w:p>
    <w:p w14:paraId="71D40316" w14:textId="77777777" w:rsidR="00585FE3" w:rsidRPr="00D2545F" w:rsidRDefault="00585FE3" w:rsidP="00585FE3">
      <w:pPr>
        <w:spacing w:after="80"/>
        <w:jc w:val="both"/>
        <w:rPr>
          <w:rFonts w:eastAsia="Times New Roman" w:cstheme="minorHAnsi"/>
          <w:sz w:val="24"/>
          <w:szCs w:val="24"/>
        </w:rPr>
      </w:pPr>
      <w:r w:rsidRPr="00D2545F">
        <w:rPr>
          <w:rFonts w:eastAsia="Times New Roman" w:cstheme="minorHAnsi"/>
          <w:i/>
          <w:iCs/>
          <w:color w:val="38761D"/>
          <w:sz w:val="20"/>
          <w:szCs w:val="20"/>
        </w:rPr>
        <w:t>This section should list all software / code (ready-made or custom-made) and their version used in the generation or processing of the presented data. This should include a statement indicating whether and how the software or code can be accessed, including any access restrictions. If relevant, provide also any specific variables or parameters used to run the software / code on the presented data.</w:t>
      </w:r>
    </w:p>
    <w:p w14:paraId="79D9363E"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Acknowledgements</w:t>
      </w:r>
    </w:p>
    <w:p w14:paraId="1D02D519" w14:textId="77777777" w:rsidR="00585FE3" w:rsidRPr="00D2545F" w:rsidRDefault="00585FE3" w:rsidP="00585FE3">
      <w:pPr>
        <w:spacing w:after="80"/>
        <w:jc w:val="both"/>
        <w:rPr>
          <w:rFonts w:eastAsia="Times New Roman" w:cstheme="minorHAnsi"/>
          <w:i/>
          <w:iCs/>
          <w:color w:val="38761D"/>
          <w:sz w:val="20"/>
          <w:szCs w:val="20"/>
        </w:rPr>
      </w:pPr>
      <w:r w:rsidRPr="00D2545F">
        <w:rPr>
          <w:rFonts w:eastAsia="Times New Roman" w:cstheme="minorHAnsi"/>
          <w:i/>
          <w:iCs/>
          <w:color w:val="38761D"/>
          <w:sz w:val="20"/>
          <w:szCs w:val="20"/>
        </w:rPr>
        <w:t>This section should contain brief acknowledgements of non-author contributors. Anonymous referees and editors or effusive comments are not accepted. Grant or contribution numbers can be acknowledged.</w:t>
      </w:r>
    </w:p>
    <w:p w14:paraId="10321938" w14:textId="77777777" w:rsidR="00537349" w:rsidRPr="00D2545F" w:rsidRDefault="00537349" w:rsidP="00537349">
      <w:pPr>
        <w:pStyle w:val="MDPI62BackMatter"/>
        <w:ind w:left="0"/>
        <w:rPr>
          <w:rFonts w:asciiTheme="minorHAnsi" w:hAnsiTheme="minorHAnsi" w:cstheme="minorHAnsi"/>
          <w:bCs/>
          <w:sz w:val="22"/>
          <w:szCs w:val="24"/>
          <w:lang w:val="en-GB"/>
        </w:rPr>
      </w:pPr>
      <w:r w:rsidRPr="00D2545F">
        <w:rPr>
          <w:rFonts w:asciiTheme="minorHAnsi" w:hAnsiTheme="minorHAnsi" w:cstheme="minorHAnsi"/>
          <w:sz w:val="22"/>
          <w:szCs w:val="24"/>
          <w:lang w:val="en-GB"/>
        </w:rPr>
        <w:t xml:space="preserve">We are grateful to </w:t>
      </w:r>
      <w:proofErr w:type="spellStart"/>
      <w:r w:rsidRPr="00D2545F">
        <w:rPr>
          <w:rFonts w:asciiTheme="minorHAnsi" w:hAnsiTheme="minorHAnsi" w:cstheme="minorHAnsi"/>
          <w:sz w:val="22"/>
          <w:szCs w:val="24"/>
          <w:lang w:val="en-GB"/>
        </w:rPr>
        <w:t>Prof.</w:t>
      </w:r>
      <w:proofErr w:type="spellEnd"/>
      <w:r w:rsidRPr="00D2545F">
        <w:rPr>
          <w:rFonts w:asciiTheme="minorHAnsi" w:hAnsiTheme="minorHAnsi" w:cstheme="minorHAnsi"/>
          <w:sz w:val="22"/>
          <w:szCs w:val="24"/>
          <w:lang w:val="en-GB"/>
        </w:rPr>
        <w:t xml:space="preserve"> </w:t>
      </w:r>
      <w:proofErr w:type="spellStart"/>
      <w:r w:rsidRPr="00D2545F">
        <w:rPr>
          <w:rFonts w:asciiTheme="minorHAnsi" w:hAnsiTheme="minorHAnsi" w:cstheme="minorHAnsi"/>
          <w:sz w:val="22"/>
          <w:szCs w:val="24"/>
          <w:lang w:val="en-GB"/>
        </w:rPr>
        <w:t>Toshikuni</w:t>
      </w:r>
      <w:proofErr w:type="spellEnd"/>
      <w:r w:rsidRPr="00D2545F">
        <w:rPr>
          <w:rFonts w:asciiTheme="minorHAnsi" w:hAnsiTheme="minorHAnsi" w:cstheme="minorHAnsi"/>
          <w:sz w:val="22"/>
          <w:szCs w:val="24"/>
          <w:lang w:val="en-GB"/>
        </w:rPr>
        <w:t xml:space="preserve"> </w:t>
      </w:r>
      <w:proofErr w:type="spellStart"/>
      <w:r w:rsidRPr="00D2545F">
        <w:rPr>
          <w:rFonts w:asciiTheme="minorHAnsi" w:hAnsiTheme="minorHAnsi" w:cstheme="minorHAnsi"/>
          <w:sz w:val="22"/>
          <w:szCs w:val="24"/>
          <w:lang w:val="en-GB"/>
        </w:rPr>
        <w:t>Sasaoka</w:t>
      </w:r>
      <w:proofErr w:type="spellEnd"/>
      <w:r w:rsidRPr="00D2545F">
        <w:rPr>
          <w:rFonts w:asciiTheme="minorHAnsi" w:hAnsiTheme="minorHAnsi" w:cstheme="minorHAnsi"/>
          <w:sz w:val="22"/>
          <w:szCs w:val="24"/>
          <w:lang w:val="en-GB"/>
        </w:rPr>
        <w:t xml:space="preserve"> and </w:t>
      </w:r>
      <w:proofErr w:type="spellStart"/>
      <w:r w:rsidRPr="00D2545F">
        <w:rPr>
          <w:rFonts w:asciiTheme="minorHAnsi" w:hAnsiTheme="minorHAnsi" w:cstheme="minorHAnsi"/>
          <w:sz w:val="22"/>
          <w:szCs w:val="24"/>
          <w:lang w:val="en-GB"/>
        </w:rPr>
        <w:t>Dr.</w:t>
      </w:r>
      <w:proofErr w:type="spellEnd"/>
      <w:r w:rsidRPr="00D2545F">
        <w:rPr>
          <w:rFonts w:asciiTheme="minorHAnsi" w:hAnsiTheme="minorHAnsi" w:cstheme="minorHAnsi"/>
          <w:sz w:val="22"/>
          <w:szCs w:val="24"/>
          <w:lang w:val="en-GB"/>
        </w:rPr>
        <w:t xml:space="preserve"> </w:t>
      </w:r>
      <w:proofErr w:type="spellStart"/>
      <w:r w:rsidRPr="00D2545F">
        <w:rPr>
          <w:rFonts w:asciiTheme="minorHAnsi" w:hAnsiTheme="minorHAnsi" w:cstheme="minorHAnsi"/>
          <w:sz w:val="22"/>
          <w:szCs w:val="24"/>
          <w:lang w:val="en-GB"/>
        </w:rPr>
        <w:t>Motoya</w:t>
      </w:r>
      <w:proofErr w:type="spellEnd"/>
      <w:r w:rsidRPr="00D2545F">
        <w:rPr>
          <w:rFonts w:asciiTheme="minorHAnsi" w:hAnsiTheme="minorHAnsi" w:cstheme="minorHAnsi"/>
          <w:sz w:val="22"/>
          <w:szCs w:val="24"/>
          <w:lang w:val="en-GB"/>
        </w:rPr>
        <w:t xml:space="preserve"> </w:t>
      </w:r>
      <w:proofErr w:type="spellStart"/>
      <w:r w:rsidRPr="00D2545F">
        <w:rPr>
          <w:rFonts w:asciiTheme="minorHAnsi" w:hAnsiTheme="minorHAnsi" w:cstheme="minorHAnsi"/>
          <w:sz w:val="22"/>
          <w:szCs w:val="24"/>
          <w:lang w:val="en-GB"/>
        </w:rPr>
        <w:t>Katsuki</w:t>
      </w:r>
      <w:proofErr w:type="spellEnd"/>
      <w:r w:rsidRPr="00D2545F">
        <w:rPr>
          <w:rFonts w:asciiTheme="minorHAnsi" w:hAnsiTheme="minorHAnsi" w:cstheme="minorHAnsi"/>
          <w:sz w:val="22"/>
          <w:szCs w:val="24"/>
          <w:lang w:val="en-GB"/>
        </w:rPr>
        <w:t xml:space="preserve"> (Department of Comparative &amp; Experimental Medicine, Brain Research Institute, Niigata University, Japan) and </w:t>
      </w:r>
      <w:proofErr w:type="spellStart"/>
      <w:r w:rsidRPr="00D2545F">
        <w:rPr>
          <w:rFonts w:asciiTheme="minorHAnsi" w:hAnsiTheme="minorHAnsi" w:cstheme="minorHAnsi"/>
          <w:sz w:val="22"/>
          <w:szCs w:val="24"/>
          <w:lang w:val="en-GB"/>
        </w:rPr>
        <w:t>Dr.</w:t>
      </w:r>
      <w:proofErr w:type="spellEnd"/>
      <w:r w:rsidRPr="00D2545F">
        <w:rPr>
          <w:rFonts w:asciiTheme="minorHAnsi" w:hAnsiTheme="minorHAnsi" w:cstheme="minorHAnsi"/>
          <w:sz w:val="22"/>
          <w:szCs w:val="24"/>
          <w:lang w:val="en-GB"/>
        </w:rPr>
        <w:t xml:space="preserve"> Jun Tanihata and </w:t>
      </w:r>
      <w:proofErr w:type="spellStart"/>
      <w:r w:rsidRPr="00D2545F">
        <w:rPr>
          <w:rFonts w:asciiTheme="minorHAnsi" w:hAnsiTheme="minorHAnsi" w:cstheme="minorHAnsi"/>
          <w:sz w:val="22"/>
          <w:szCs w:val="24"/>
          <w:lang w:val="en-GB"/>
        </w:rPr>
        <w:t>Dr.</w:t>
      </w:r>
      <w:proofErr w:type="spellEnd"/>
      <w:r w:rsidRPr="00D2545F">
        <w:rPr>
          <w:rFonts w:asciiTheme="minorHAnsi" w:hAnsiTheme="minorHAnsi" w:cstheme="minorHAnsi"/>
          <w:sz w:val="22"/>
          <w:szCs w:val="24"/>
          <w:lang w:val="en-GB"/>
        </w:rPr>
        <w:t xml:space="preserve"> Shin’ichi Takeda (National </w:t>
      </w:r>
      <w:proofErr w:type="spellStart"/>
      <w:r w:rsidRPr="00D2545F">
        <w:rPr>
          <w:rFonts w:asciiTheme="minorHAnsi" w:hAnsiTheme="minorHAnsi" w:cstheme="minorHAnsi"/>
          <w:sz w:val="22"/>
          <w:szCs w:val="24"/>
          <w:lang w:val="en-GB"/>
        </w:rPr>
        <w:t>Center</w:t>
      </w:r>
      <w:proofErr w:type="spellEnd"/>
      <w:r w:rsidRPr="00D2545F">
        <w:rPr>
          <w:rFonts w:asciiTheme="minorHAnsi" w:hAnsiTheme="minorHAnsi" w:cstheme="minorHAnsi"/>
          <w:sz w:val="22"/>
          <w:szCs w:val="24"/>
          <w:lang w:val="en-GB"/>
        </w:rPr>
        <w:t xml:space="preserve"> of Neurology and Psychiatry, Tokyo, Japan) for generating and providing the </w:t>
      </w:r>
      <w:r w:rsidRPr="00D2545F">
        <w:rPr>
          <w:rFonts w:asciiTheme="minorHAnsi" w:hAnsiTheme="minorHAnsi" w:cstheme="minorHAnsi"/>
          <w:i/>
          <w:sz w:val="22"/>
          <w:szCs w:val="24"/>
          <w:lang w:val="en-GB"/>
        </w:rPr>
        <w:t>mdx52</w:t>
      </w:r>
      <w:r w:rsidRPr="00D2545F">
        <w:rPr>
          <w:rFonts w:asciiTheme="minorHAnsi" w:hAnsiTheme="minorHAnsi" w:cstheme="minorHAnsi"/>
          <w:sz w:val="22"/>
          <w:szCs w:val="24"/>
          <w:lang w:val="en-GB"/>
        </w:rPr>
        <w:t xml:space="preserve"> line used in this study. We would also like to thank Matthew Siddle for helping with some RNA extractions. We are grateful to the </w:t>
      </w:r>
      <w:proofErr w:type="spellStart"/>
      <w:r w:rsidRPr="00D2545F">
        <w:rPr>
          <w:rFonts w:asciiTheme="minorHAnsi" w:hAnsiTheme="minorHAnsi" w:cstheme="minorHAnsi"/>
          <w:sz w:val="22"/>
          <w:szCs w:val="24"/>
          <w:lang w:val="en-GB"/>
        </w:rPr>
        <w:t>Zootechnic</w:t>
      </w:r>
      <w:proofErr w:type="spellEnd"/>
      <w:r w:rsidRPr="00D2545F">
        <w:rPr>
          <w:rFonts w:asciiTheme="minorHAnsi" w:hAnsiTheme="minorHAnsi" w:cstheme="minorHAnsi"/>
          <w:sz w:val="22"/>
          <w:szCs w:val="24"/>
          <w:lang w:val="en-GB"/>
        </w:rPr>
        <w:t xml:space="preserve"> platforms of our institutes for mouse breeding, care, and genotyping.</w:t>
      </w:r>
    </w:p>
    <w:p w14:paraId="4B22A972" w14:textId="77777777" w:rsidR="00537349" w:rsidRPr="00D2545F" w:rsidRDefault="00537349" w:rsidP="00585FE3">
      <w:pPr>
        <w:spacing w:after="80"/>
        <w:jc w:val="both"/>
        <w:rPr>
          <w:rFonts w:eastAsia="Times New Roman" w:cstheme="minorHAnsi"/>
          <w:i/>
          <w:iCs/>
          <w:color w:val="38761D"/>
          <w:sz w:val="20"/>
          <w:szCs w:val="20"/>
          <w:lang w:val="en-GB"/>
        </w:rPr>
      </w:pPr>
    </w:p>
    <w:p w14:paraId="2BA7196E"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Author contributions</w:t>
      </w:r>
    </w:p>
    <w:p w14:paraId="44876C00" w14:textId="77777777" w:rsidR="00585FE3" w:rsidRPr="00D2545F" w:rsidRDefault="00585FE3" w:rsidP="00585FE3">
      <w:pPr>
        <w:spacing w:after="80"/>
        <w:jc w:val="both"/>
        <w:rPr>
          <w:rFonts w:eastAsia="Times New Roman" w:cstheme="minorHAnsi"/>
          <w:i/>
          <w:iCs/>
          <w:color w:val="38761D"/>
          <w:sz w:val="20"/>
          <w:szCs w:val="20"/>
        </w:rPr>
      </w:pPr>
      <w:r w:rsidRPr="00D2545F">
        <w:rPr>
          <w:rFonts w:eastAsia="Times New Roman" w:cstheme="minorHAnsi"/>
          <w:i/>
          <w:iCs/>
          <w:color w:val="38761D"/>
          <w:sz w:val="20"/>
          <w:szCs w:val="20"/>
        </w:rPr>
        <w:t>This section should state briefly on a separate line each author’s contribution to producing or maintaining the presented data as well as their role in publishing them.</w:t>
      </w:r>
    </w:p>
    <w:p w14:paraId="269E3198" w14:textId="77777777" w:rsidR="00537349" w:rsidRPr="00D2545F" w:rsidRDefault="00537349" w:rsidP="00537349">
      <w:pPr>
        <w:spacing w:after="100"/>
        <w:jc w:val="both"/>
        <w:rPr>
          <w:rFonts w:eastAsia="Times New Roman" w:cstheme="minorHAnsi"/>
          <w:color w:val="000000"/>
        </w:rPr>
      </w:pPr>
      <w:r w:rsidRPr="00D2545F">
        <w:rPr>
          <w:rFonts w:eastAsia="Times New Roman" w:cstheme="minorHAnsi"/>
          <w:color w:val="000000"/>
        </w:rPr>
        <w:t xml:space="preserve">Conceptualization and methodology F.M. and A.G.; Analysis, A.S., C.F., C.V., T.G.; Investigation, A.G., A.S., C.F., C.V., F.M., J.M., T.G., V.K.; Resources, F.M. A.G. C.V. V.K., T.T.; L.G.; F.M; writing—original draft preparation A.S., A.G.; writing—review and editing A.G., A.S., C.F., C.V., F.M., J.M., T.G., V.K.; supervision, A.G, V.K., F.M.; funding acquisition, F.M. </w:t>
      </w:r>
    </w:p>
    <w:p w14:paraId="21AEC6A5" w14:textId="77777777" w:rsidR="00537349" w:rsidRPr="00D2545F" w:rsidRDefault="00537349" w:rsidP="00585FE3">
      <w:pPr>
        <w:spacing w:after="80"/>
        <w:jc w:val="both"/>
        <w:rPr>
          <w:rFonts w:eastAsia="Times New Roman" w:cstheme="minorHAnsi"/>
          <w:sz w:val="24"/>
          <w:szCs w:val="24"/>
        </w:rPr>
      </w:pPr>
    </w:p>
    <w:p w14:paraId="325A5F15" w14:textId="77777777" w:rsidR="00585FE3" w:rsidRPr="00D2545F" w:rsidRDefault="00585FE3" w:rsidP="00585FE3">
      <w:pPr>
        <w:spacing w:before="240" w:after="120"/>
        <w:jc w:val="both"/>
        <w:outlineLvl w:val="1"/>
        <w:rPr>
          <w:rFonts w:eastAsia="Times New Roman" w:cstheme="minorHAnsi"/>
          <w:b/>
          <w:bCs/>
          <w:sz w:val="36"/>
          <w:szCs w:val="36"/>
        </w:rPr>
      </w:pPr>
      <w:r w:rsidRPr="00D2545F">
        <w:rPr>
          <w:rFonts w:eastAsia="Times New Roman" w:cstheme="minorHAnsi"/>
          <w:b/>
          <w:bCs/>
          <w:color w:val="000000"/>
          <w:sz w:val="28"/>
          <w:szCs w:val="28"/>
        </w:rPr>
        <w:t>REFERENCES*</w:t>
      </w:r>
    </w:p>
    <w:p w14:paraId="4FFE7CD9" w14:textId="77777777" w:rsidR="00585FE3" w:rsidRPr="00D2545F" w:rsidRDefault="00585FE3" w:rsidP="00585FE3">
      <w:pPr>
        <w:spacing w:after="80"/>
        <w:jc w:val="both"/>
        <w:rPr>
          <w:rFonts w:eastAsia="Times New Roman" w:cstheme="minorHAnsi"/>
          <w:i/>
          <w:iCs/>
          <w:color w:val="38761D"/>
          <w:sz w:val="20"/>
          <w:szCs w:val="20"/>
        </w:rPr>
      </w:pPr>
      <w:r w:rsidRPr="00D2545F">
        <w:rPr>
          <w:rFonts w:eastAsia="Times New Roman" w:cstheme="minorHAnsi"/>
          <w:i/>
          <w:iCs/>
          <w:color w:val="38761D"/>
          <w:sz w:val="20"/>
          <w:szCs w:val="20"/>
        </w:rPr>
        <w:t>This section should list all bibliographic information for all literature cited in the above sections using the standard Nature referencing style.</w:t>
      </w:r>
    </w:p>
    <w:p w14:paraId="4580A9BD" w14:textId="77777777" w:rsidR="007E7E28" w:rsidRPr="00D2545F" w:rsidRDefault="007E7E28" w:rsidP="00585FE3">
      <w:pPr>
        <w:spacing w:after="80"/>
        <w:jc w:val="both"/>
        <w:rPr>
          <w:rFonts w:eastAsia="Times New Roman" w:cstheme="minorHAnsi"/>
          <w:i/>
          <w:iCs/>
          <w:color w:val="38761D"/>
          <w:sz w:val="20"/>
          <w:szCs w:val="20"/>
        </w:rPr>
      </w:pPr>
    </w:p>
    <w:p w14:paraId="05FFDA54" w14:textId="77777777" w:rsidR="00644C57" w:rsidRPr="00644C57" w:rsidRDefault="00644C57" w:rsidP="00644C57">
      <w:pPr>
        <w:pStyle w:val="Bibliographie"/>
        <w:spacing w:line="276" w:lineRule="auto"/>
        <w:jc w:val="both"/>
        <w:rPr>
          <w:rFonts w:ascii="Calibri" w:hAnsi="Calibri" w:cs="Calibri"/>
          <w:sz w:val="24"/>
        </w:rPr>
      </w:pPr>
      <w:r>
        <w:rPr>
          <w:rFonts w:eastAsia="Times New Roman" w:cstheme="minorHAnsi"/>
        </w:rPr>
        <w:fldChar w:fldCharType="begin"/>
      </w:r>
      <w:r>
        <w:rPr>
          <w:rFonts w:eastAsia="Times New Roman" w:cstheme="minorHAnsi"/>
        </w:rPr>
        <w:instrText xml:space="preserve"> ADDIN ZOTERO_BIBL {"uncited":[],"omitted":[],"custom":[]} CSL_BIBLIOGRAPHY </w:instrText>
      </w:r>
      <w:r>
        <w:rPr>
          <w:rFonts w:eastAsia="Times New Roman" w:cstheme="minorHAnsi"/>
        </w:rPr>
        <w:fldChar w:fldCharType="separate"/>
      </w:r>
      <w:r w:rsidRPr="00644C57">
        <w:rPr>
          <w:rFonts w:ascii="Calibri" w:hAnsi="Calibri" w:cs="Calibri"/>
          <w:sz w:val="24"/>
        </w:rPr>
        <w:t>1.</w:t>
      </w:r>
      <w:r w:rsidRPr="00644C57">
        <w:rPr>
          <w:rFonts w:ascii="Calibri" w:hAnsi="Calibri" w:cs="Calibri"/>
          <w:sz w:val="24"/>
        </w:rPr>
        <w:tab/>
        <w:t xml:space="preserve">Gilar, M., Belenky, A., Smisek, D. L., Bourque, A. &amp; Cohen, A. S. Kinetics of phosphorothioate oligonucleotide metabolism in biological fluids. </w:t>
      </w:r>
      <w:r w:rsidRPr="00644C57">
        <w:rPr>
          <w:rFonts w:ascii="Calibri" w:hAnsi="Calibri" w:cs="Calibri"/>
          <w:i/>
          <w:iCs/>
          <w:sz w:val="24"/>
        </w:rPr>
        <w:t>Nucleic Acids Res</w:t>
      </w:r>
      <w:r w:rsidRPr="00644C57">
        <w:rPr>
          <w:rFonts w:ascii="Calibri" w:hAnsi="Calibri" w:cs="Calibri"/>
          <w:sz w:val="24"/>
        </w:rPr>
        <w:t xml:space="preserve"> </w:t>
      </w:r>
      <w:r w:rsidRPr="00644C57">
        <w:rPr>
          <w:rFonts w:ascii="Calibri" w:hAnsi="Calibri" w:cs="Calibri"/>
          <w:b/>
          <w:bCs/>
          <w:sz w:val="24"/>
        </w:rPr>
        <w:t>25</w:t>
      </w:r>
      <w:r w:rsidRPr="00644C57">
        <w:rPr>
          <w:rFonts w:ascii="Calibri" w:hAnsi="Calibri" w:cs="Calibri"/>
          <w:sz w:val="24"/>
        </w:rPr>
        <w:t>, 3615–3620 (1997).</w:t>
      </w:r>
    </w:p>
    <w:p w14:paraId="43676A4F"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w:t>
      </w:r>
      <w:r w:rsidRPr="00644C57">
        <w:rPr>
          <w:rFonts w:ascii="Calibri" w:hAnsi="Calibri" w:cs="Calibri"/>
          <w:sz w:val="24"/>
        </w:rPr>
        <w:tab/>
        <w:t xml:space="preserve">Griepenburg, J. C., Rapp, T. L., Carroll, P. J., Eberwine, J. &amp; Dmochowski, I. J. Ruthenium-Caged Antisense Morpholinos for Regulating Gene Expression in Zebrafish Embryos. </w:t>
      </w:r>
      <w:r w:rsidRPr="00644C57">
        <w:rPr>
          <w:rFonts w:ascii="Calibri" w:hAnsi="Calibri" w:cs="Calibri"/>
          <w:i/>
          <w:iCs/>
          <w:sz w:val="24"/>
        </w:rPr>
        <w:t>Chem Sci</w:t>
      </w:r>
      <w:r w:rsidRPr="00644C57">
        <w:rPr>
          <w:rFonts w:ascii="Calibri" w:hAnsi="Calibri" w:cs="Calibri"/>
          <w:sz w:val="24"/>
        </w:rPr>
        <w:t xml:space="preserve"> </w:t>
      </w:r>
      <w:r w:rsidRPr="00644C57">
        <w:rPr>
          <w:rFonts w:ascii="Calibri" w:hAnsi="Calibri" w:cs="Calibri"/>
          <w:b/>
          <w:bCs/>
          <w:sz w:val="24"/>
        </w:rPr>
        <w:t>6</w:t>
      </w:r>
      <w:r w:rsidRPr="00644C57">
        <w:rPr>
          <w:rFonts w:ascii="Calibri" w:hAnsi="Calibri" w:cs="Calibri"/>
          <w:sz w:val="24"/>
        </w:rPr>
        <w:t>, 2342–2346 (2015).</w:t>
      </w:r>
    </w:p>
    <w:p w14:paraId="71662F77"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3.</w:t>
      </w:r>
      <w:r w:rsidRPr="00644C57">
        <w:rPr>
          <w:rFonts w:ascii="Calibri" w:hAnsi="Calibri" w:cs="Calibri"/>
          <w:sz w:val="24"/>
        </w:rPr>
        <w:tab/>
        <w:t xml:space="preserve">Kaur, H., Wengel, J. &amp; Maiti, S. LNA-modified oligonucleotides effectively drive intramolecular-stable hairpin to intermolecular-duplex state. </w:t>
      </w:r>
      <w:r w:rsidRPr="00644C57">
        <w:rPr>
          <w:rFonts w:ascii="Calibri" w:hAnsi="Calibri" w:cs="Calibri"/>
          <w:i/>
          <w:iCs/>
          <w:sz w:val="24"/>
        </w:rPr>
        <w:t>Biochem Biophys Res Commun</w:t>
      </w:r>
      <w:r w:rsidRPr="00644C57">
        <w:rPr>
          <w:rFonts w:ascii="Calibri" w:hAnsi="Calibri" w:cs="Calibri"/>
          <w:sz w:val="24"/>
        </w:rPr>
        <w:t xml:space="preserve"> </w:t>
      </w:r>
      <w:r w:rsidRPr="00644C57">
        <w:rPr>
          <w:rFonts w:ascii="Calibri" w:hAnsi="Calibri" w:cs="Calibri"/>
          <w:b/>
          <w:bCs/>
          <w:sz w:val="24"/>
        </w:rPr>
        <w:t>352</w:t>
      </w:r>
      <w:r w:rsidRPr="00644C57">
        <w:rPr>
          <w:rFonts w:ascii="Calibri" w:hAnsi="Calibri" w:cs="Calibri"/>
          <w:sz w:val="24"/>
        </w:rPr>
        <w:t>, 118–122 (2007).</w:t>
      </w:r>
    </w:p>
    <w:p w14:paraId="7837CF1B"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4.</w:t>
      </w:r>
      <w:r w:rsidRPr="00644C57">
        <w:rPr>
          <w:rFonts w:ascii="Calibri" w:hAnsi="Calibri" w:cs="Calibri"/>
          <w:sz w:val="24"/>
        </w:rPr>
        <w:tab/>
        <w:t xml:space="preserve">Hoffman, E. P., Knudson, C. M., Campbell, K. P. &amp; Kunkel, L. M. Subcellular fractionation of dystrophin to the triads of skeletal muscle. </w:t>
      </w:r>
      <w:r w:rsidRPr="00644C57">
        <w:rPr>
          <w:rFonts w:ascii="Calibri" w:hAnsi="Calibri" w:cs="Calibri"/>
          <w:i/>
          <w:iCs/>
          <w:sz w:val="24"/>
        </w:rPr>
        <w:t>Nature</w:t>
      </w:r>
      <w:r w:rsidRPr="00644C57">
        <w:rPr>
          <w:rFonts w:ascii="Calibri" w:hAnsi="Calibri" w:cs="Calibri"/>
          <w:sz w:val="24"/>
        </w:rPr>
        <w:t xml:space="preserve"> </w:t>
      </w:r>
      <w:r w:rsidRPr="00644C57">
        <w:rPr>
          <w:rFonts w:ascii="Calibri" w:hAnsi="Calibri" w:cs="Calibri"/>
          <w:b/>
          <w:bCs/>
          <w:sz w:val="24"/>
        </w:rPr>
        <w:t>330</w:t>
      </w:r>
      <w:r w:rsidRPr="00644C57">
        <w:rPr>
          <w:rFonts w:ascii="Calibri" w:hAnsi="Calibri" w:cs="Calibri"/>
          <w:sz w:val="24"/>
        </w:rPr>
        <w:t>, 754–758 (1987).</w:t>
      </w:r>
    </w:p>
    <w:p w14:paraId="101127C9"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5.</w:t>
      </w:r>
      <w:r w:rsidRPr="00644C57">
        <w:rPr>
          <w:rFonts w:ascii="Calibri" w:hAnsi="Calibri" w:cs="Calibri"/>
          <w:sz w:val="24"/>
        </w:rPr>
        <w:tab/>
        <w:t xml:space="preserve">Mah, J. K. </w:t>
      </w:r>
      <w:r w:rsidRPr="00644C57">
        <w:rPr>
          <w:rFonts w:ascii="Calibri" w:hAnsi="Calibri" w:cs="Calibri"/>
          <w:i/>
          <w:iCs/>
          <w:sz w:val="24"/>
        </w:rPr>
        <w:t>et al.</w:t>
      </w:r>
      <w:r w:rsidRPr="00644C57">
        <w:rPr>
          <w:rFonts w:ascii="Calibri" w:hAnsi="Calibri" w:cs="Calibri"/>
          <w:sz w:val="24"/>
        </w:rPr>
        <w:t xml:space="preserve"> A systematic review and meta-analysis on the epidemiology of Duchenne and Becker muscular dystrophy. </w:t>
      </w:r>
      <w:r w:rsidRPr="00644C57">
        <w:rPr>
          <w:rFonts w:ascii="Calibri" w:hAnsi="Calibri" w:cs="Calibri"/>
          <w:i/>
          <w:iCs/>
          <w:sz w:val="24"/>
        </w:rPr>
        <w:t>Neuromuscul Disord</w:t>
      </w:r>
      <w:r w:rsidRPr="00644C57">
        <w:rPr>
          <w:rFonts w:ascii="Calibri" w:hAnsi="Calibri" w:cs="Calibri"/>
          <w:sz w:val="24"/>
        </w:rPr>
        <w:t xml:space="preserve"> </w:t>
      </w:r>
      <w:r w:rsidRPr="00644C57">
        <w:rPr>
          <w:rFonts w:ascii="Calibri" w:hAnsi="Calibri" w:cs="Calibri"/>
          <w:b/>
          <w:bCs/>
          <w:sz w:val="24"/>
        </w:rPr>
        <w:t>24</w:t>
      </w:r>
      <w:r w:rsidRPr="00644C57">
        <w:rPr>
          <w:rFonts w:ascii="Calibri" w:hAnsi="Calibri" w:cs="Calibri"/>
          <w:sz w:val="24"/>
        </w:rPr>
        <w:t>, 482–491 (2014).</w:t>
      </w:r>
    </w:p>
    <w:p w14:paraId="7D300FED"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6.</w:t>
      </w:r>
      <w:r w:rsidRPr="00644C57">
        <w:rPr>
          <w:rFonts w:ascii="Calibri" w:hAnsi="Calibri" w:cs="Calibri"/>
          <w:sz w:val="24"/>
        </w:rPr>
        <w:tab/>
        <w:t xml:space="preserve">Aartsma-Rus, A. </w:t>
      </w:r>
      <w:r w:rsidRPr="00644C57">
        <w:rPr>
          <w:rFonts w:ascii="Calibri" w:hAnsi="Calibri" w:cs="Calibri"/>
          <w:i/>
          <w:iCs/>
          <w:sz w:val="24"/>
        </w:rPr>
        <w:t>et al.</w:t>
      </w:r>
      <w:r w:rsidRPr="00644C57">
        <w:rPr>
          <w:rFonts w:ascii="Calibri" w:hAnsi="Calibri" w:cs="Calibri"/>
          <w:sz w:val="24"/>
        </w:rPr>
        <w:t xml:space="preserve"> Therapeutic modulation of DMD splicing by blocking exonic splicing enhancer sites with antisense oligonucleotides. </w:t>
      </w:r>
      <w:r w:rsidRPr="00644C57">
        <w:rPr>
          <w:rFonts w:ascii="Calibri" w:hAnsi="Calibri" w:cs="Calibri"/>
          <w:i/>
          <w:iCs/>
          <w:sz w:val="24"/>
        </w:rPr>
        <w:t>Ann N Y Acad Sci</w:t>
      </w:r>
      <w:r w:rsidRPr="00644C57">
        <w:rPr>
          <w:rFonts w:ascii="Calibri" w:hAnsi="Calibri" w:cs="Calibri"/>
          <w:sz w:val="24"/>
        </w:rPr>
        <w:t xml:space="preserve"> </w:t>
      </w:r>
      <w:r w:rsidRPr="00644C57">
        <w:rPr>
          <w:rFonts w:ascii="Calibri" w:hAnsi="Calibri" w:cs="Calibri"/>
          <w:b/>
          <w:bCs/>
          <w:sz w:val="24"/>
        </w:rPr>
        <w:t>1082</w:t>
      </w:r>
      <w:r w:rsidRPr="00644C57">
        <w:rPr>
          <w:rFonts w:ascii="Calibri" w:hAnsi="Calibri" w:cs="Calibri"/>
          <w:sz w:val="24"/>
        </w:rPr>
        <w:t>, 74–76 (2006).</w:t>
      </w:r>
    </w:p>
    <w:p w14:paraId="37DFE2FF"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7.</w:t>
      </w:r>
      <w:r w:rsidRPr="00644C57">
        <w:rPr>
          <w:rFonts w:ascii="Calibri" w:hAnsi="Calibri" w:cs="Calibri"/>
          <w:sz w:val="24"/>
        </w:rPr>
        <w:tab/>
        <w:t xml:space="preserve">Dunckley, M. G., Manoharan, M., Villiet, P., Eperon, I. C. &amp; Dickson, G. Modification of splicing in the dystrophin gene in cultured Mdx muscle cells by antisense oligoribonucleotides. </w:t>
      </w:r>
      <w:r w:rsidRPr="00644C57">
        <w:rPr>
          <w:rFonts w:ascii="Calibri" w:hAnsi="Calibri" w:cs="Calibri"/>
          <w:i/>
          <w:iCs/>
          <w:sz w:val="24"/>
        </w:rPr>
        <w:t>Hum Mol Genet</w:t>
      </w:r>
      <w:r w:rsidRPr="00644C57">
        <w:rPr>
          <w:rFonts w:ascii="Calibri" w:hAnsi="Calibri" w:cs="Calibri"/>
          <w:sz w:val="24"/>
        </w:rPr>
        <w:t xml:space="preserve"> </w:t>
      </w:r>
      <w:r w:rsidRPr="00644C57">
        <w:rPr>
          <w:rFonts w:ascii="Calibri" w:hAnsi="Calibri" w:cs="Calibri"/>
          <w:b/>
          <w:bCs/>
          <w:sz w:val="24"/>
        </w:rPr>
        <w:t>7</w:t>
      </w:r>
      <w:r w:rsidRPr="00644C57">
        <w:rPr>
          <w:rFonts w:ascii="Calibri" w:hAnsi="Calibri" w:cs="Calibri"/>
          <w:sz w:val="24"/>
        </w:rPr>
        <w:t>, 1083–1090 (1998).</w:t>
      </w:r>
    </w:p>
    <w:p w14:paraId="231419B2"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8.</w:t>
      </w:r>
      <w:r w:rsidRPr="00644C57">
        <w:rPr>
          <w:rFonts w:ascii="Calibri" w:hAnsi="Calibri" w:cs="Calibri"/>
          <w:sz w:val="24"/>
        </w:rPr>
        <w:tab/>
        <w:t xml:space="preserve">Ferlini, A., Goyenvalle, A. &amp; Muntoni, F. RNA-targeted drugs for neuromuscular diseases. </w:t>
      </w:r>
      <w:r w:rsidRPr="00644C57">
        <w:rPr>
          <w:rFonts w:ascii="Calibri" w:hAnsi="Calibri" w:cs="Calibri"/>
          <w:i/>
          <w:iCs/>
          <w:sz w:val="24"/>
        </w:rPr>
        <w:t>Science</w:t>
      </w:r>
      <w:r w:rsidRPr="00644C57">
        <w:rPr>
          <w:rFonts w:ascii="Calibri" w:hAnsi="Calibri" w:cs="Calibri"/>
          <w:sz w:val="24"/>
        </w:rPr>
        <w:t xml:space="preserve"> </w:t>
      </w:r>
      <w:r w:rsidRPr="00644C57">
        <w:rPr>
          <w:rFonts w:ascii="Calibri" w:hAnsi="Calibri" w:cs="Calibri"/>
          <w:b/>
          <w:bCs/>
          <w:sz w:val="24"/>
        </w:rPr>
        <w:t>371</w:t>
      </w:r>
      <w:r w:rsidRPr="00644C57">
        <w:rPr>
          <w:rFonts w:ascii="Calibri" w:hAnsi="Calibri" w:cs="Calibri"/>
          <w:sz w:val="24"/>
        </w:rPr>
        <w:t>, 29–31 (2021).</w:t>
      </w:r>
    </w:p>
    <w:p w14:paraId="552A78F6"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9.</w:t>
      </w:r>
      <w:r w:rsidRPr="00644C57">
        <w:rPr>
          <w:rFonts w:ascii="Calibri" w:hAnsi="Calibri" w:cs="Calibri"/>
          <w:sz w:val="24"/>
        </w:rPr>
        <w:tab/>
        <w:t xml:space="preserve">Hendriksen, R. G. F., Vles, J. S. H., Aalbers, M. W., Chin, R. F. M. &amp; Hendriksen, J. G. M. Brain-related comorbidities in boys and men with Duchenne Muscular Dystrophy: A descriptive study. </w:t>
      </w:r>
      <w:r w:rsidRPr="00644C57">
        <w:rPr>
          <w:rFonts w:ascii="Calibri" w:hAnsi="Calibri" w:cs="Calibri"/>
          <w:i/>
          <w:iCs/>
          <w:sz w:val="24"/>
        </w:rPr>
        <w:t>Eur J Paediatr Neurol</w:t>
      </w:r>
      <w:r w:rsidRPr="00644C57">
        <w:rPr>
          <w:rFonts w:ascii="Calibri" w:hAnsi="Calibri" w:cs="Calibri"/>
          <w:sz w:val="24"/>
        </w:rPr>
        <w:t xml:space="preserve"> </w:t>
      </w:r>
      <w:r w:rsidRPr="00644C57">
        <w:rPr>
          <w:rFonts w:ascii="Calibri" w:hAnsi="Calibri" w:cs="Calibri"/>
          <w:b/>
          <w:bCs/>
          <w:sz w:val="24"/>
        </w:rPr>
        <w:t>22</w:t>
      </w:r>
      <w:r w:rsidRPr="00644C57">
        <w:rPr>
          <w:rFonts w:ascii="Calibri" w:hAnsi="Calibri" w:cs="Calibri"/>
          <w:sz w:val="24"/>
        </w:rPr>
        <w:t>, 488–497 (2018).</w:t>
      </w:r>
    </w:p>
    <w:p w14:paraId="596F5127"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10.</w:t>
      </w:r>
      <w:r w:rsidRPr="00644C57">
        <w:rPr>
          <w:rFonts w:ascii="Calibri" w:hAnsi="Calibri" w:cs="Calibri"/>
          <w:sz w:val="24"/>
        </w:rPr>
        <w:tab/>
        <w:t xml:space="preserve">Ricotti, V. </w:t>
      </w:r>
      <w:r w:rsidRPr="00644C57">
        <w:rPr>
          <w:rFonts w:ascii="Calibri" w:hAnsi="Calibri" w:cs="Calibri"/>
          <w:i/>
          <w:iCs/>
          <w:sz w:val="24"/>
        </w:rPr>
        <w:t>et al.</w:t>
      </w:r>
      <w:r w:rsidRPr="00644C57">
        <w:rPr>
          <w:rFonts w:ascii="Calibri" w:hAnsi="Calibri" w:cs="Calibri"/>
          <w:sz w:val="24"/>
        </w:rPr>
        <w:t xml:space="preserve"> Neurodevelopmental, emotional, and behavioural problems in Duchenne muscular dystrophy in relation to underlying dystrophin gene mutations. </w:t>
      </w:r>
      <w:r w:rsidRPr="00644C57">
        <w:rPr>
          <w:rFonts w:ascii="Calibri" w:hAnsi="Calibri" w:cs="Calibri"/>
          <w:i/>
          <w:iCs/>
          <w:sz w:val="24"/>
        </w:rPr>
        <w:t>Dev Med Child Neurol</w:t>
      </w:r>
      <w:r w:rsidRPr="00644C57">
        <w:rPr>
          <w:rFonts w:ascii="Calibri" w:hAnsi="Calibri" w:cs="Calibri"/>
          <w:sz w:val="24"/>
        </w:rPr>
        <w:t xml:space="preserve"> </w:t>
      </w:r>
      <w:r w:rsidRPr="00644C57">
        <w:rPr>
          <w:rFonts w:ascii="Calibri" w:hAnsi="Calibri" w:cs="Calibri"/>
          <w:b/>
          <w:bCs/>
          <w:sz w:val="24"/>
        </w:rPr>
        <w:t>58</w:t>
      </w:r>
      <w:r w:rsidRPr="00644C57">
        <w:rPr>
          <w:rFonts w:ascii="Calibri" w:hAnsi="Calibri" w:cs="Calibri"/>
          <w:sz w:val="24"/>
        </w:rPr>
        <w:t>, 77–84 (2016).</w:t>
      </w:r>
    </w:p>
    <w:p w14:paraId="1E893291"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11.</w:t>
      </w:r>
      <w:r w:rsidRPr="00644C57">
        <w:rPr>
          <w:rFonts w:ascii="Calibri" w:hAnsi="Calibri" w:cs="Calibri"/>
          <w:sz w:val="24"/>
        </w:rPr>
        <w:tab/>
        <w:t xml:space="preserve">Araki, E. </w:t>
      </w:r>
      <w:r w:rsidRPr="00644C57">
        <w:rPr>
          <w:rFonts w:ascii="Calibri" w:hAnsi="Calibri" w:cs="Calibri"/>
          <w:i/>
          <w:iCs/>
          <w:sz w:val="24"/>
        </w:rPr>
        <w:t>et al.</w:t>
      </w:r>
      <w:r w:rsidRPr="00644C57">
        <w:rPr>
          <w:rFonts w:ascii="Calibri" w:hAnsi="Calibri" w:cs="Calibri"/>
          <w:sz w:val="24"/>
        </w:rPr>
        <w:t xml:space="preserve"> Targeted disruption of exon 52 in the mouse dystrophin gene induced muscle degeneration similar to that observed in Duchenne muscular dystrophy. </w:t>
      </w:r>
      <w:r w:rsidRPr="00644C57">
        <w:rPr>
          <w:rFonts w:ascii="Calibri" w:hAnsi="Calibri" w:cs="Calibri"/>
          <w:i/>
          <w:iCs/>
          <w:sz w:val="24"/>
        </w:rPr>
        <w:t>Biochem Biophys Res Commun</w:t>
      </w:r>
      <w:r w:rsidRPr="00644C57">
        <w:rPr>
          <w:rFonts w:ascii="Calibri" w:hAnsi="Calibri" w:cs="Calibri"/>
          <w:sz w:val="24"/>
        </w:rPr>
        <w:t xml:space="preserve"> </w:t>
      </w:r>
      <w:r w:rsidRPr="00644C57">
        <w:rPr>
          <w:rFonts w:ascii="Calibri" w:hAnsi="Calibri" w:cs="Calibri"/>
          <w:b/>
          <w:bCs/>
          <w:sz w:val="24"/>
        </w:rPr>
        <w:t>238</w:t>
      </w:r>
      <w:r w:rsidRPr="00644C57">
        <w:rPr>
          <w:rFonts w:ascii="Calibri" w:hAnsi="Calibri" w:cs="Calibri"/>
          <w:sz w:val="24"/>
        </w:rPr>
        <w:t>, 492–497 (1997).</w:t>
      </w:r>
    </w:p>
    <w:p w14:paraId="10659FA6"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12.</w:t>
      </w:r>
      <w:r w:rsidRPr="00644C57">
        <w:rPr>
          <w:rFonts w:ascii="Calibri" w:hAnsi="Calibri" w:cs="Calibri"/>
          <w:sz w:val="24"/>
        </w:rPr>
        <w:tab/>
        <w:t xml:space="preserve">Colombo, P. </w:t>
      </w:r>
      <w:r w:rsidRPr="00644C57">
        <w:rPr>
          <w:rFonts w:ascii="Calibri" w:hAnsi="Calibri" w:cs="Calibri"/>
          <w:i/>
          <w:iCs/>
          <w:sz w:val="24"/>
        </w:rPr>
        <w:t>et al.</w:t>
      </w:r>
      <w:r w:rsidRPr="00644C57">
        <w:rPr>
          <w:rFonts w:ascii="Calibri" w:hAnsi="Calibri" w:cs="Calibri"/>
          <w:sz w:val="24"/>
        </w:rPr>
        <w:t xml:space="preserve"> Assessing mental health in boys with Duchenne muscular dystrophy: Emotional, behavioural and neurodevelopmental profile in an Italian clinical sample. </w:t>
      </w:r>
      <w:r w:rsidRPr="00644C57">
        <w:rPr>
          <w:rFonts w:ascii="Calibri" w:hAnsi="Calibri" w:cs="Calibri"/>
          <w:i/>
          <w:iCs/>
          <w:sz w:val="24"/>
        </w:rPr>
        <w:t>Eur J Paediatr Neurol</w:t>
      </w:r>
      <w:r w:rsidRPr="00644C57">
        <w:rPr>
          <w:rFonts w:ascii="Calibri" w:hAnsi="Calibri" w:cs="Calibri"/>
          <w:sz w:val="24"/>
        </w:rPr>
        <w:t xml:space="preserve"> </w:t>
      </w:r>
      <w:r w:rsidRPr="00644C57">
        <w:rPr>
          <w:rFonts w:ascii="Calibri" w:hAnsi="Calibri" w:cs="Calibri"/>
          <w:b/>
          <w:bCs/>
          <w:sz w:val="24"/>
        </w:rPr>
        <w:t>21</w:t>
      </w:r>
      <w:r w:rsidRPr="00644C57">
        <w:rPr>
          <w:rFonts w:ascii="Calibri" w:hAnsi="Calibri" w:cs="Calibri"/>
          <w:sz w:val="24"/>
        </w:rPr>
        <w:t>, 639–647 (2017).</w:t>
      </w:r>
    </w:p>
    <w:p w14:paraId="25AA54E9"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lastRenderedPageBreak/>
        <w:t>13.</w:t>
      </w:r>
      <w:r w:rsidRPr="00644C57">
        <w:rPr>
          <w:rFonts w:ascii="Calibri" w:hAnsi="Calibri" w:cs="Calibri"/>
          <w:sz w:val="24"/>
        </w:rPr>
        <w:tab/>
        <w:t xml:space="preserve">Taylor, P. J. </w:t>
      </w:r>
      <w:r w:rsidRPr="00644C57">
        <w:rPr>
          <w:rFonts w:ascii="Calibri" w:hAnsi="Calibri" w:cs="Calibri"/>
          <w:i/>
          <w:iCs/>
          <w:sz w:val="24"/>
        </w:rPr>
        <w:t>et al.</w:t>
      </w:r>
      <w:r w:rsidRPr="00644C57">
        <w:rPr>
          <w:rFonts w:ascii="Calibri" w:hAnsi="Calibri" w:cs="Calibri"/>
          <w:sz w:val="24"/>
        </w:rPr>
        <w:t xml:space="preserve"> Dystrophin gene mutation location and the risk of cognitive impairment in Duchenne muscular dystrophy. </w:t>
      </w:r>
      <w:r w:rsidRPr="00644C57">
        <w:rPr>
          <w:rFonts w:ascii="Calibri" w:hAnsi="Calibri" w:cs="Calibri"/>
          <w:i/>
          <w:iCs/>
          <w:sz w:val="24"/>
        </w:rPr>
        <w:t>PLoS One</w:t>
      </w:r>
      <w:r w:rsidRPr="00644C57">
        <w:rPr>
          <w:rFonts w:ascii="Calibri" w:hAnsi="Calibri" w:cs="Calibri"/>
          <w:sz w:val="24"/>
        </w:rPr>
        <w:t xml:space="preserve"> </w:t>
      </w:r>
      <w:r w:rsidRPr="00644C57">
        <w:rPr>
          <w:rFonts w:ascii="Calibri" w:hAnsi="Calibri" w:cs="Calibri"/>
          <w:b/>
          <w:bCs/>
          <w:sz w:val="24"/>
        </w:rPr>
        <w:t>5</w:t>
      </w:r>
      <w:r w:rsidRPr="00644C57">
        <w:rPr>
          <w:rFonts w:ascii="Calibri" w:hAnsi="Calibri" w:cs="Calibri"/>
          <w:sz w:val="24"/>
        </w:rPr>
        <w:t>, e8803 (2010).</w:t>
      </w:r>
    </w:p>
    <w:p w14:paraId="12882B90"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14.</w:t>
      </w:r>
      <w:r w:rsidRPr="00644C57">
        <w:rPr>
          <w:rFonts w:ascii="Calibri" w:hAnsi="Calibri" w:cs="Calibri"/>
          <w:sz w:val="24"/>
        </w:rPr>
        <w:tab/>
        <w:t xml:space="preserve">Saoudi, A. </w:t>
      </w:r>
      <w:r w:rsidRPr="00644C57">
        <w:rPr>
          <w:rFonts w:ascii="Calibri" w:hAnsi="Calibri" w:cs="Calibri"/>
          <w:i/>
          <w:iCs/>
          <w:sz w:val="24"/>
        </w:rPr>
        <w:t>et al.</w:t>
      </w:r>
      <w:r w:rsidRPr="00644C57">
        <w:rPr>
          <w:rFonts w:ascii="Calibri" w:hAnsi="Calibri" w:cs="Calibri"/>
          <w:sz w:val="24"/>
        </w:rPr>
        <w:t xml:space="preserve"> Emotional behavior and brain anatomy of the mdx52 mouse model of Duchenne muscular dystrophy. </w:t>
      </w:r>
      <w:r w:rsidRPr="00644C57">
        <w:rPr>
          <w:rFonts w:ascii="Calibri" w:hAnsi="Calibri" w:cs="Calibri"/>
          <w:i/>
          <w:iCs/>
          <w:sz w:val="24"/>
        </w:rPr>
        <w:t>Dis Model Mech</w:t>
      </w:r>
      <w:r w:rsidRPr="00644C57">
        <w:rPr>
          <w:rFonts w:ascii="Calibri" w:hAnsi="Calibri" w:cs="Calibri"/>
          <w:sz w:val="24"/>
        </w:rPr>
        <w:t xml:space="preserve"> </w:t>
      </w:r>
      <w:r w:rsidRPr="00644C57">
        <w:rPr>
          <w:rFonts w:ascii="Calibri" w:hAnsi="Calibri" w:cs="Calibri"/>
          <w:b/>
          <w:bCs/>
          <w:sz w:val="24"/>
        </w:rPr>
        <w:t>14</w:t>
      </w:r>
      <w:r w:rsidRPr="00644C57">
        <w:rPr>
          <w:rFonts w:ascii="Calibri" w:hAnsi="Calibri" w:cs="Calibri"/>
          <w:sz w:val="24"/>
        </w:rPr>
        <w:t>, dmm049028 (2021).</w:t>
      </w:r>
    </w:p>
    <w:p w14:paraId="0CFC00A4"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15.</w:t>
      </w:r>
      <w:r w:rsidRPr="00644C57">
        <w:rPr>
          <w:rFonts w:ascii="Calibri" w:hAnsi="Calibri" w:cs="Calibri"/>
          <w:sz w:val="24"/>
        </w:rPr>
        <w:tab/>
        <w:t xml:space="preserve">Boursereau, R., Donadieu, A., Dabertrand, F., Dubayle, D. &amp; Morel, J.-L. Blood brain barrier precludes the cerebral arteries to intravenously-injected antisense oligonucleotide. </w:t>
      </w:r>
      <w:r w:rsidRPr="00644C57">
        <w:rPr>
          <w:rFonts w:ascii="Calibri" w:hAnsi="Calibri" w:cs="Calibri"/>
          <w:i/>
          <w:iCs/>
          <w:sz w:val="24"/>
        </w:rPr>
        <w:t>European Journal of Pharmacology</w:t>
      </w:r>
      <w:r w:rsidRPr="00644C57">
        <w:rPr>
          <w:rFonts w:ascii="Calibri" w:hAnsi="Calibri" w:cs="Calibri"/>
          <w:sz w:val="24"/>
        </w:rPr>
        <w:t xml:space="preserve"> </w:t>
      </w:r>
      <w:r w:rsidRPr="00644C57">
        <w:rPr>
          <w:rFonts w:ascii="Calibri" w:hAnsi="Calibri" w:cs="Calibri"/>
          <w:b/>
          <w:bCs/>
          <w:sz w:val="24"/>
        </w:rPr>
        <w:t>747</w:t>
      </w:r>
      <w:r w:rsidRPr="00644C57">
        <w:rPr>
          <w:rFonts w:ascii="Calibri" w:hAnsi="Calibri" w:cs="Calibri"/>
          <w:sz w:val="24"/>
        </w:rPr>
        <w:t>, 141–149 (2015).</w:t>
      </w:r>
    </w:p>
    <w:p w14:paraId="3AB15870"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16.</w:t>
      </w:r>
      <w:r w:rsidRPr="00644C57">
        <w:rPr>
          <w:rFonts w:ascii="Calibri" w:hAnsi="Calibri" w:cs="Calibri"/>
          <w:sz w:val="24"/>
        </w:rPr>
        <w:tab/>
        <w:t xml:space="preserve">Crawford, L., Rosch, J. &amp; Putnam, D. Concepts, technologies, and practices for drug delivery past the blood–brain barrier to the central nervous system. </w:t>
      </w:r>
      <w:r w:rsidRPr="00644C57">
        <w:rPr>
          <w:rFonts w:ascii="Calibri" w:hAnsi="Calibri" w:cs="Calibri"/>
          <w:i/>
          <w:iCs/>
          <w:sz w:val="24"/>
        </w:rPr>
        <w:t>Journal of Controlled Release</w:t>
      </w:r>
      <w:r w:rsidRPr="00644C57">
        <w:rPr>
          <w:rFonts w:ascii="Calibri" w:hAnsi="Calibri" w:cs="Calibri"/>
          <w:sz w:val="24"/>
        </w:rPr>
        <w:t xml:space="preserve"> </w:t>
      </w:r>
      <w:r w:rsidRPr="00644C57">
        <w:rPr>
          <w:rFonts w:ascii="Calibri" w:hAnsi="Calibri" w:cs="Calibri"/>
          <w:b/>
          <w:bCs/>
          <w:sz w:val="24"/>
        </w:rPr>
        <w:t>240</w:t>
      </w:r>
      <w:r w:rsidRPr="00644C57">
        <w:rPr>
          <w:rFonts w:ascii="Calibri" w:hAnsi="Calibri" w:cs="Calibri"/>
          <w:sz w:val="24"/>
        </w:rPr>
        <w:t>, 251–266 (2016).</w:t>
      </w:r>
    </w:p>
    <w:p w14:paraId="409A97C1"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17.</w:t>
      </w:r>
      <w:r w:rsidRPr="00644C57">
        <w:rPr>
          <w:rFonts w:ascii="Calibri" w:hAnsi="Calibri" w:cs="Calibri"/>
          <w:sz w:val="24"/>
        </w:rPr>
        <w:tab/>
        <w:t xml:space="preserve">Lehtinen, M. K. </w:t>
      </w:r>
      <w:r w:rsidRPr="00644C57">
        <w:rPr>
          <w:rFonts w:ascii="Calibri" w:hAnsi="Calibri" w:cs="Calibri"/>
          <w:i/>
          <w:iCs/>
          <w:sz w:val="24"/>
        </w:rPr>
        <w:t>et al.</w:t>
      </w:r>
      <w:r w:rsidRPr="00644C57">
        <w:rPr>
          <w:rFonts w:ascii="Calibri" w:hAnsi="Calibri" w:cs="Calibri"/>
          <w:sz w:val="24"/>
        </w:rPr>
        <w:t xml:space="preserve"> The choroid plexus and cerebrospinal fluid: emerging roles in development, disease, and therapy. </w:t>
      </w:r>
      <w:r w:rsidRPr="00644C57">
        <w:rPr>
          <w:rFonts w:ascii="Calibri" w:hAnsi="Calibri" w:cs="Calibri"/>
          <w:i/>
          <w:iCs/>
          <w:sz w:val="24"/>
        </w:rPr>
        <w:t>J Neurosci</w:t>
      </w:r>
      <w:r w:rsidRPr="00644C57">
        <w:rPr>
          <w:rFonts w:ascii="Calibri" w:hAnsi="Calibri" w:cs="Calibri"/>
          <w:sz w:val="24"/>
        </w:rPr>
        <w:t xml:space="preserve"> </w:t>
      </w:r>
      <w:r w:rsidRPr="00644C57">
        <w:rPr>
          <w:rFonts w:ascii="Calibri" w:hAnsi="Calibri" w:cs="Calibri"/>
          <w:b/>
          <w:bCs/>
          <w:sz w:val="24"/>
        </w:rPr>
        <w:t>33</w:t>
      </w:r>
      <w:r w:rsidRPr="00644C57">
        <w:rPr>
          <w:rFonts w:ascii="Calibri" w:hAnsi="Calibri" w:cs="Calibri"/>
          <w:sz w:val="24"/>
        </w:rPr>
        <w:t>, 17553–17559 (2013).</w:t>
      </w:r>
    </w:p>
    <w:p w14:paraId="05BCA381"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18.</w:t>
      </w:r>
      <w:r w:rsidRPr="00644C57">
        <w:rPr>
          <w:rFonts w:ascii="Calibri" w:hAnsi="Calibri" w:cs="Calibri"/>
          <w:sz w:val="24"/>
        </w:rPr>
        <w:tab/>
        <w:t>Paxinos &amp; Franklin. Paxinos and Franklin’s the Mouse Brain in Stereotaxic Coordinates, Compact - 5th Edition. https://www.elsevier.com/books/paxinos-and-franklins-the-mouse-brain-in-stereotaxic-coordinates-compact/franklin/978-0-12-816159-3 (2003).</w:t>
      </w:r>
    </w:p>
    <w:p w14:paraId="30D93DEB"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lang w:val="fr-FR"/>
        </w:rPr>
        <w:t>19.</w:t>
      </w:r>
      <w:r w:rsidRPr="00644C57">
        <w:rPr>
          <w:rFonts w:ascii="Calibri" w:hAnsi="Calibri" w:cs="Calibri"/>
          <w:sz w:val="24"/>
          <w:lang w:val="fr-FR"/>
        </w:rPr>
        <w:tab/>
        <w:t xml:space="preserve">Miller, T. M. </w:t>
      </w:r>
      <w:r w:rsidRPr="00644C57">
        <w:rPr>
          <w:rFonts w:ascii="Calibri" w:hAnsi="Calibri" w:cs="Calibri"/>
          <w:i/>
          <w:iCs/>
          <w:sz w:val="24"/>
          <w:lang w:val="fr-FR"/>
        </w:rPr>
        <w:t>et al.</w:t>
      </w:r>
      <w:r w:rsidRPr="00644C57">
        <w:rPr>
          <w:rFonts w:ascii="Calibri" w:hAnsi="Calibri" w:cs="Calibri"/>
          <w:sz w:val="24"/>
          <w:lang w:val="fr-FR"/>
        </w:rPr>
        <w:t xml:space="preserve"> </w:t>
      </w:r>
      <w:r w:rsidRPr="00644C57">
        <w:rPr>
          <w:rFonts w:ascii="Calibri" w:hAnsi="Calibri" w:cs="Calibri"/>
          <w:sz w:val="24"/>
        </w:rPr>
        <w:t xml:space="preserve">An antisense oligonucleotide against SOD1 delivered intrathecally for patients with SOD1 familial amyotrophic lateral sclerosis: a phase 1, randomised, first-in-man study. </w:t>
      </w:r>
      <w:r w:rsidRPr="00644C57">
        <w:rPr>
          <w:rFonts w:ascii="Calibri" w:hAnsi="Calibri" w:cs="Calibri"/>
          <w:i/>
          <w:iCs/>
          <w:sz w:val="24"/>
        </w:rPr>
        <w:t>Lancet Neurol</w:t>
      </w:r>
      <w:r w:rsidRPr="00644C57">
        <w:rPr>
          <w:rFonts w:ascii="Calibri" w:hAnsi="Calibri" w:cs="Calibri"/>
          <w:sz w:val="24"/>
        </w:rPr>
        <w:t xml:space="preserve"> </w:t>
      </w:r>
      <w:r w:rsidRPr="00644C57">
        <w:rPr>
          <w:rFonts w:ascii="Calibri" w:hAnsi="Calibri" w:cs="Calibri"/>
          <w:b/>
          <w:bCs/>
          <w:sz w:val="24"/>
        </w:rPr>
        <w:t>12</w:t>
      </w:r>
      <w:r w:rsidRPr="00644C57">
        <w:rPr>
          <w:rFonts w:ascii="Calibri" w:hAnsi="Calibri" w:cs="Calibri"/>
          <w:sz w:val="24"/>
        </w:rPr>
        <w:t>, 435–442 (2013).</w:t>
      </w:r>
    </w:p>
    <w:p w14:paraId="192920BD"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20.</w:t>
      </w:r>
      <w:r w:rsidRPr="00644C57">
        <w:rPr>
          <w:rFonts w:ascii="Calibri" w:hAnsi="Calibri" w:cs="Calibri"/>
          <w:sz w:val="24"/>
        </w:rPr>
        <w:tab/>
        <w:t xml:space="preserve">Madan, E. </w:t>
      </w:r>
      <w:r w:rsidRPr="00644C57">
        <w:rPr>
          <w:rFonts w:ascii="Calibri" w:hAnsi="Calibri" w:cs="Calibri"/>
          <w:i/>
          <w:iCs/>
          <w:sz w:val="24"/>
        </w:rPr>
        <w:t>et al.</w:t>
      </w:r>
      <w:r w:rsidRPr="00644C57">
        <w:rPr>
          <w:rFonts w:ascii="Calibri" w:hAnsi="Calibri" w:cs="Calibri"/>
          <w:sz w:val="24"/>
        </w:rPr>
        <w:t xml:space="preserve"> Nusinersen for Patients With Spinal Muscular Atrophy: 1415 Doses via an Interdisciplinary Institutional Approach. </w:t>
      </w:r>
      <w:r w:rsidRPr="00644C57">
        <w:rPr>
          <w:rFonts w:ascii="Calibri" w:hAnsi="Calibri" w:cs="Calibri"/>
          <w:i/>
          <w:iCs/>
          <w:sz w:val="24"/>
        </w:rPr>
        <w:t>Pediatr Neurol</w:t>
      </w:r>
      <w:r w:rsidRPr="00644C57">
        <w:rPr>
          <w:rFonts w:ascii="Calibri" w:hAnsi="Calibri" w:cs="Calibri"/>
          <w:sz w:val="24"/>
        </w:rPr>
        <w:t xml:space="preserve"> </w:t>
      </w:r>
      <w:r w:rsidRPr="00644C57">
        <w:rPr>
          <w:rFonts w:ascii="Calibri" w:hAnsi="Calibri" w:cs="Calibri"/>
          <w:b/>
          <w:bCs/>
          <w:sz w:val="24"/>
        </w:rPr>
        <w:t>132</w:t>
      </w:r>
      <w:r w:rsidRPr="00644C57">
        <w:rPr>
          <w:rFonts w:ascii="Calibri" w:hAnsi="Calibri" w:cs="Calibri"/>
          <w:sz w:val="24"/>
        </w:rPr>
        <w:t>, 33–40 (2022).</w:t>
      </w:r>
    </w:p>
    <w:p w14:paraId="59D9A742"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21.</w:t>
      </w:r>
      <w:r w:rsidRPr="00644C57">
        <w:rPr>
          <w:rFonts w:ascii="Calibri" w:hAnsi="Calibri" w:cs="Calibri"/>
          <w:sz w:val="24"/>
        </w:rPr>
        <w:tab/>
        <w:t xml:space="preserve">Kennedy, Z., Gilbert, J. W. &amp; Godinho, B. M. D. C. Intrathecal Delivery of Therapeutic Oligonucleotides for Potent Modulation of Gene Expression in the Central Nervous System. </w:t>
      </w:r>
      <w:r w:rsidRPr="00644C57">
        <w:rPr>
          <w:rFonts w:ascii="Calibri" w:hAnsi="Calibri" w:cs="Calibri"/>
          <w:i/>
          <w:iCs/>
          <w:sz w:val="24"/>
        </w:rPr>
        <w:t>Methods Mol Biol</w:t>
      </w:r>
      <w:r w:rsidRPr="00644C57">
        <w:rPr>
          <w:rFonts w:ascii="Calibri" w:hAnsi="Calibri" w:cs="Calibri"/>
          <w:sz w:val="24"/>
        </w:rPr>
        <w:t xml:space="preserve"> </w:t>
      </w:r>
      <w:r w:rsidRPr="00644C57">
        <w:rPr>
          <w:rFonts w:ascii="Calibri" w:hAnsi="Calibri" w:cs="Calibri"/>
          <w:b/>
          <w:bCs/>
          <w:sz w:val="24"/>
        </w:rPr>
        <w:t>2434</w:t>
      </w:r>
      <w:r w:rsidRPr="00644C57">
        <w:rPr>
          <w:rFonts w:ascii="Calibri" w:hAnsi="Calibri" w:cs="Calibri"/>
          <w:sz w:val="24"/>
        </w:rPr>
        <w:t>, 345–353 (2022).</w:t>
      </w:r>
    </w:p>
    <w:p w14:paraId="0DF27C73"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22.</w:t>
      </w:r>
      <w:r w:rsidRPr="00644C57">
        <w:rPr>
          <w:rFonts w:ascii="Calibri" w:hAnsi="Calibri" w:cs="Calibri"/>
          <w:sz w:val="24"/>
        </w:rPr>
        <w:tab/>
        <w:t xml:space="preserve">Finkel, R. S. </w:t>
      </w:r>
      <w:r w:rsidRPr="00644C57">
        <w:rPr>
          <w:rFonts w:ascii="Calibri" w:hAnsi="Calibri" w:cs="Calibri"/>
          <w:i/>
          <w:iCs/>
          <w:sz w:val="24"/>
        </w:rPr>
        <w:t>et al.</w:t>
      </w:r>
      <w:r w:rsidRPr="00644C57">
        <w:rPr>
          <w:rFonts w:ascii="Calibri" w:hAnsi="Calibri" w:cs="Calibri"/>
          <w:sz w:val="24"/>
        </w:rPr>
        <w:t xml:space="preserve"> Treatment of infantile-onset spinal muscular atrophy with nusinersen: a phase 2, open-label, dose-escalation study. </w:t>
      </w:r>
      <w:r w:rsidRPr="00644C57">
        <w:rPr>
          <w:rFonts w:ascii="Calibri" w:hAnsi="Calibri" w:cs="Calibri"/>
          <w:i/>
          <w:iCs/>
          <w:sz w:val="24"/>
        </w:rPr>
        <w:t>Lancet</w:t>
      </w:r>
      <w:r w:rsidRPr="00644C57">
        <w:rPr>
          <w:rFonts w:ascii="Calibri" w:hAnsi="Calibri" w:cs="Calibri"/>
          <w:sz w:val="24"/>
        </w:rPr>
        <w:t xml:space="preserve"> </w:t>
      </w:r>
      <w:r w:rsidRPr="00644C57">
        <w:rPr>
          <w:rFonts w:ascii="Calibri" w:hAnsi="Calibri" w:cs="Calibri"/>
          <w:b/>
          <w:bCs/>
          <w:sz w:val="24"/>
        </w:rPr>
        <w:t>388</w:t>
      </w:r>
      <w:r w:rsidRPr="00644C57">
        <w:rPr>
          <w:rFonts w:ascii="Calibri" w:hAnsi="Calibri" w:cs="Calibri"/>
          <w:sz w:val="24"/>
        </w:rPr>
        <w:t>, 3017–3026 (2016).</w:t>
      </w:r>
    </w:p>
    <w:p w14:paraId="2A9D09B7"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23.</w:t>
      </w:r>
      <w:r w:rsidRPr="00644C57">
        <w:rPr>
          <w:rFonts w:ascii="Calibri" w:hAnsi="Calibri" w:cs="Calibri"/>
          <w:sz w:val="24"/>
        </w:rPr>
        <w:tab/>
        <w:t xml:space="preserve">Bailey, R. M., Rozenberg, A. &amp; Gray, S. J. Comparison of high-dose intracisterna magna and lumbar puncture intrathecal delivery of AAV9 in mice to treat neuropathies. </w:t>
      </w:r>
      <w:r w:rsidRPr="00644C57">
        <w:rPr>
          <w:rFonts w:ascii="Calibri" w:hAnsi="Calibri" w:cs="Calibri"/>
          <w:i/>
          <w:iCs/>
          <w:sz w:val="24"/>
        </w:rPr>
        <w:t>Brain Res</w:t>
      </w:r>
      <w:r w:rsidRPr="00644C57">
        <w:rPr>
          <w:rFonts w:ascii="Calibri" w:hAnsi="Calibri" w:cs="Calibri"/>
          <w:sz w:val="24"/>
        </w:rPr>
        <w:t xml:space="preserve"> </w:t>
      </w:r>
      <w:r w:rsidRPr="00644C57">
        <w:rPr>
          <w:rFonts w:ascii="Calibri" w:hAnsi="Calibri" w:cs="Calibri"/>
          <w:b/>
          <w:bCs/>
          <w:sz w:val="24"/>
        </w:rPr>
        <w:t>1739</w:t>
      </w:r>
      <w:r w:rsidRPr="00644C57">
        <w:rPr>
          <w:rFonts w:ascii="Calibri" w:hAnsi="Calibri" w:cs="Calibri"/>
          <w:sz w:val="24"/>
        </w:rPr>
        <w:t>, 146832 (2020).</w:t>
      </w:r>
    </w:p>
    <w:p w14:paraId="658A8553"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24.</w:t>
      </w:r>
      <w:r w:rsidRPr="00644C57">
        <w:rPr>
          <w:rFonts w:ascii="Calibri" w:hAnsi="Calibri" w:cs="Calibri"/>
          <w:sz w:val="24"/>
        </w:rPr>
        <w:tab/>
        <w:t xml:space="preserve">Relizani, K. </w:t>
      </w:r>
      <w:r w:rsidRPr="00644C57">
        <w:rPr>
          <w:rFonts w:ascii="Calibri" w:hAnsi="Calibri" w:cs="Calibri"/>
          <w:i/>
          <w:iCs/>
          <w:sz w:val="24"/>
        </w:rPr>
        <w:t>et al.</w:t>
      </w:r>
      <w:r w:rsidRPr="00644C57">
        <w:rPr>
          <w:rFonts w:ascii="Calibri" w:hAnsi="Calibri" w:cs="Calibri"/>
          <w:sz w:val="24"/>
        </w:rPr>
        <w:t xml:space="preserve"> Palmitic acid conjugation enhances potency of tricyclo-DNA splice switching oligonucleotides. </w:t>
      </w:r>
      <w:r w:rsidRPr="00644C57">
        <w:rPr>
          <w:rFonts w:ascii="Calibri" w:hAnsi="Calibri" w:cs="Calibri"/>
          <w:i/>
          <w:iCs/>
          <w:sz w:val="24"/>
        </w:rPr>
        <w:t>Nucleic Acids Res</w:t>
      </w:r>
      <w:r w:rsidRPr="00644C57">
        <w:rPr>
          <w:rFonts w:ascii="Calibri" w:hAnsi="Calibri" w:cs="Calibri"/>
          <w:sz w:val="24"/>
        </w:rPr>
        <w:t xml:space="preserve"> </w:t>
      </w:r>
      <w:r w:rsidRPr="00644C57">
        <w:rPr>
          <w:rFonts w:ascii="Calibri" w:hAnsi="Calibri" w:cs="Calibri"/>
          <w:b/>
          <w:bCs/>
          <w:sz w:val="24"/>
        </w:rPr>
        <w:t>50</w:t>
      </w:r>
      <w:r w:rsidRPr="00644C57">
        <w:rPr>
          <w:rFonts w:ascii="Calibri" w:hAnsi="Calibri" w:cs="Calibri"/>
          <w:sz w:val="24"/>
        </w:rPr>
        <w:t>, 17–34 (2022).</w:t>
      </w:r>
    </w:p>
    <w:p w14:paraId="0E29A4CF"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25.</w:t>
      </w:r>
      <w:r w:rsidRPr="00644C57">
        <w:rPr>
          <w:rFonts w:ascii="Calibri" w:hAnsi="Calibri" w:cs="Calibri"/>
          <w:sz w:val="24"/>
        </w:rPr>
        <w:tab/>
        <w:t xml:space="preserve">Zarrouki, F. </w:t>
      </w:r>
      <w:r w:rsidRPr="00644C57">
        <w:rPr>
          <w:rFonts w:ascii="Calibri" w:hAnsi="Calibri" w:cs="Calibri"/>
          <w:i/>
          <w:iCs/>
          <w:sz w:val="24"/>
        </w:rPr>
        <w:t>et al.</w:t>
      </w:r>
      <w:r w:rsidRPr="00644C57">
        <w:rPr>
          <w:rFonts w:ascii="Calibri" w:hAnsi="Calibri" w:cs="Calibri"/>
          <w:sz w:val="24"/>
        </w:rPr>
        <w:t xml:space="preserve"> Partial Restoration of Brain Dystrophin and Behavioral Deficits by Exon Skipping in the Muscular Dystrophy X-Linked (mdx) Mouse. </w:t>
      </w:r>
      <w:r w:rsidRPr="00644C57">
        <w:rPr>
          <w:rFonts w:ascii="Calibri" w:hAnsi="Calibri" w:cs="Calibri"/>
          <w:i/>
          <w:iCs/>
          <w:sz w:val="24"/>
        </w:rPr>
        <w:t>Ann Neurol</w:t>
      </w:r>
      <w:r w:rsidRPr="00644C57">
        <w:rPr>
          <w:rFonts w:ascii="Calibri" w:hAnsi="Calibri" w:cs="Calibri"/>
          <w:sz w:val="24"/>
        </w:rPr>
        <w:t xml:space="preserve"> </w:t>
      </w:r>
      <w:r w:rsidRPr="00644C57">
        <w:rPr>
          <w:rFonts w:ascii="Calibri" w:hAnsi="Calibri" w:cs="Calibri"/>
          <w:b/>
          <w:bCs/>
          <w:sz w:val="24"/>
        </w:rPr>
        <w:t>92</w:t>
      </w:r>
      <w:r w:rsidRPr="00644C57">
        <w:rPr>
          <w:rFonts w:ascii="Calibri" w:hAnsi="Calibri" w:cs="Calibri"/>
          <w:sz w:val="24"/>
        </w:rPr>
        <w:t>, 213–229 (2022).</w:t>
      </w:r>
    </w:p>
    <w:p w14:paraId="6EA46300" w14:textId="77777777" w:rsidR="00644C57" w:rsidRPr="00644C57" w:rsidRDefault="00644C57" w:rsidP="00644C57">
      <w:pPr>
        <w:pStyle w:val="Bibliographie"/>
        <w:spacing w:line="276" w:lineRule="auto"/>
        <w:jc w:val="both"/>
        <w:rPr>
          <w:rFonts w:ascii="Calibri" w:hAnsi="Calibri" w:cs="Calibri"/>
          <w:sz w:val="24"/>
        </w:rPr>
      </w:pPr>
      <w:r w:rsidRPr="00644C57">
        <w:rPr>
          <w:rFonts w:ascii="Calibri" w:hAnsi="Calibri" w:cs="Calibri"/>
          <w:sz w:val="24"/>
        </w:rPr>
        <w:t>26.</w:t>
      </w:r>
      <w:r w:rsidRPr="00644C57">
        <w:rPr>
          <w:rFonts w:ascii="Calibri" w:hAnsi="Calibri" w:cs="Calibri"/>
          <w:sz w:val="24"/>
        </w:rPr>
        <w:tab/>
        <w:t xml:space="preserve">Saoudi, A. </w:t>
      </w:r>
      <w:r w:rsidRPr="00644C57">
        <w:rPr>
          <w:rFonts w:ascii="Calibri" w:hAnsi="Calibri" w:cs="Calibri"/>
          <w:i/>
          <w:iCs/>
          <w:sz w:val="24"/>
        </w:rPr>
        <w:t>et al.</w:t>
      </w:r>
      <w:r w:rsidRPr="00644C57">
        <w:rPr>
          <w:rFonts w:ascii="Calibri" w:hAnsi="Calibri" w:cs="Calibri"/>
          <w:sz w:val="24"/>
        </w:rPr>
        <w:t xml:space="preserve"> Partial restoration of brain dystrophin by tricyclo-DNA antisense oligonucleotides alleviates emotional deficits in mdx52 mice. </w:t>
      </w:r>
      <w:r w:rsidRPr="00644C57">
        <w:rPr>
          <w:rFonts w:ascii="Calibri" w:hAnsi="Calibri" w:cs="Calibri"/>
          <w:i/>
          <w:iCs/>
          <w:sz w:val="24"/>
        </w:rPr>
        <w:t>Mol Ther Nucleic Acids</w:t>
      </w:r>
      <w:r w:rsidRPr="00644C57">
        <w:rPr>
          <w:rFonts w:ascii="Calibri" w:hAnsi="Calibri" w:cs="Calibri"/>
          <w:sz w:val="24"/>
        </w:rPr>
        <w:t xml:space="preserve"> </w:t>
      </w:r>
      <w:r w:rsidRPr="00644C57">
        <w:rPr>
          <w:rFonts w:ascii="Calibri" w:hAnsi="Calibri" w:cs="Calibri"/>
          <w:b/>
          <w:bCs/>
          <w:sz w:val="24"/>
        </w:rPr>
        <w:t>32</w:t>
      </w:r>
      <w:r w:rsidRPr="00644C57">
        <w:rPr>
          <w:rFonts w:ascii="Calibri" w:hAnsi="Calibri" w:cs="Calibri"/>
          <w:sz w:val="24"/>
        </w:rPr>
        <w:t>, 173–188 (2023).</w:t>
      </w:r>
    </w:p>
    <w:p w14:paraId="5EFE0123" w14:textId="00B63F68" w:rsidR="00166D1E" w:rsidRPr="00D2545F" w:rsidRDefault="00644C57" w:rsidP="00644C57">
      <w:pPr>
        <w:spacing w:after="80" w:line="276" w:lineRule="auto"/>
        <w:jc w:val="both"/>
        <w:rPr>
          <w:rFonts w:eastAsia="Times New Roman" w:cstheme="minorHAnsi"/>
          <w:sz w:val="24"/>
          <w:szCs w:val="24"/>
        </w:rPr>
      </w:pPr>
      <w:r>
        <w:rPr>
          <w:rFonts w:eastAsia="Times New Roman" w:cstheme="minorHAnsi"/>
          <w:sz w:val="24"/>
          <w:szCs w:val="24"/>
        </w:rPr>
        <w:fldChar w:fldCharType="end"/>
      </w:r>
    </w:p>
    <w:p w14:paraId="6BE28F4A" w14:textId="0B01F796" w:rsidR="003C7249" w:rsidRPr="00D2545F" w:rsidRDefault="003C7249" w:rsidP="00166D1E">
      <w:pPr>
        <w:spacing w:line="276" w:lineRule="auto"/>
        <w:jc w:val="both"/>
        <w:rPr>
          <w:rFonts w:cstheme="minorHAnsi"/>
        </w:rPr>
      </w:pPr>
    </w:p>
    <w:p w14:paraId="207E5B87" w14:textId="67ABFBE4" w:rsidR="00781EF4" w:rsidRPr="00D2545F" w:rsidRDefault="00781EF4" w:rsidP="00166D1E">
      <w:pPr>
        <w:spacing w:line="276" w:lineRule="auto"/>
        <w:contextualSpacing/>
        <w:jc w:val="both"/>
        <w:rPr>
          <w:rFonts w:cstheme="minorHAnsi"/>
          <w:sz w:val="20"/>
          <w:szCs w:val="20"/>
        </w:rPr>
      </w:pPr>
    </w:p>
    <w:sectPr w:rsidR="00781EF4" w:rsidRPr="00D2545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el Saoudi" w:date="2023-04-26T12:17:00Z" w:initials="AS">
    <w:p w14:paraId="78B68356" w14:textId="77777777" w:rsidR="0097351D" w:rsidRDefault="004323DC" w:rsidP="00770F93">
      <w:pPr>
        <w:pStyle w:val="Commentaire"/>
      </w:pPr>
      <w:r>
        <w:rPr>
          <w:rStyle w:val="Marquedecommentaire"/>
        </w:rPr>
        <w:annotationRef/>
      </w:r>
      <w:r w:rsidR="0097351D">
        <w:t xml:space="preserve">Ref for </w:t>
      </w:r>
      <w:proofErr w:type="gramStart"/>
      <w:r w:rsidR="0097351D">
        <w:t>ICM ?</w:t>
      </w:r>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B683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4E0" w16cex:dateUtc="2023-04-2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8356" w16cid:durableId="27F394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5C7"/>
    <w:multiLevelType w:val="hybridMultilevel"/>
    <w:tmpl w:val="B6544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A4ECB"/>
    <w:multiLevelType w:val="hybridMultilevel"/>
    <w:tmpl w:val="198ECD2C"/>
    <w:lvl w:ilvl="0" w:tplc="CCEE605E">
      <w:start w:val="1"/>
      <w:numFmt w:val="decimal"/>
      <w:lvlText w:val="%1."/>
      <w:lvlJc w:val="left"/>
      <w:pPr>
        <w:ind w:left="644" w:hanging="360"/>
      </w:pPr>
      <w:rPr>
        <w:rFonts w:cs="Times New Roman"/>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2A110639"/>
    <w:multiLevelType w:val="hybridMultilevel"/>
    <w:tmpl w:val="77F09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9C535D"/>
    <w:multiLevelType w:val="hybridMultilevel"/>
    <w:tmpl w:val="77F09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el Saoudi">
    <w15:presenceInfo w15:providerId="AD" w15:userId="S::amel.saoudi@u-psud.fr::38a98abb-021a-47d7-804c-84025d3cc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AE"/>
    <w:rsid w:val="00027692"/>
    <w:rsid w:val="00060725"/>
    <w:rsid w:val="000629D4"/>
    <w:rsid w:val="00090252"/>
    <w:rsid w:val="00097886"/>
    <w:rsid w:val="000A33BA"/>
    <w:rsid w:val="000C021D"/>
    <w:rsid w:val="001233F7"/>
    <w:rsid w:val="00165249"/>
    <w:rsid w:val="00166D1E"/>
    <w:rsid w:val="00173790"/>
    <w:rsid w:val="001753BE"/>
    <w:rsid w:val="00195427"/>
    <w:rsid w:val="00195A90"/>
    <w:rsid w:val="001C0DEF"/>
    <w:rsid w:val="001E3F39"/>
    <w:rsid w:val="002058CC"/>
    <w:rsid w:val="002146F7"/>
    <w:rsid w:val="00257153"/>
    <w:rsid w:val="002677C5"/>
    <w:rsid w:val="00291B3A"/>
    <w:rsid w:val="002E4CEB"/>
    <w:rsid w:val="00333441"/>
    <w:rsid w:val="003C06E2"/>
    <w:rsid w:val="003C7249"/>
    <w:rsid w:val="004323DC"/>
    <w:rsid w:val="0043428F"/>
    <w:rsid w:val="004A7699"/>
    <w:rsid w:val="004A7AAE"/>
    <w:rsid w:val="004B1C33"/>
    <w:rsid w:val="004B7F58"/>
    <w:rsid w:val="004F036E"/>
    <w:rsid w:val="0051653D"/>
    <w:rsid w:val="00537349"/>
    <w:rsid w:val="00554E37"/>
    <w:rsid w:val="00585FE3"/>
    <w:rsid w:val="005D294A"/>
    <w:rsid w:val="00644C57"/>
    <w:rsid w:val="006474E1"/>
    <w:rsid w:val="006738CB"/>
    <w:rsid w:val="006F39F5"/>
    <w:rsid w:val="00716BE9"/>
    <w:rsid w:val="00736076"/>
    <w:rsid w:val="0077683D"/>
    <w:rsid w:val="007811B4"/>
    <w:rsid w:val="00781EF4"/>
    <w:rsid w:val="00782E91"/>
    <w:rsid w:val="007C4567"/>
    <w:rsid w:val="007E7E28"/>
    <w:rsid w:val="00831D47"/>
    <w:rsid w:val="00840B31"/>
    <w:rsid w:val="00851960"/>
    <w:rsid w:val="00925CDB"/>
    <w:rsid w:val="00941C6B"/>
    <w:rsid w:val="00954350"/>
    <w:rsid w:val="00963316"/>
    <w:rsid w:val="0097351D"/>
    <w:rsid w:val="00981825"/>
    <w:rsid w:val="009E244D"/>
    <w:rsid w:val="00A3421C"/>
    <w:rsid w:val="00A66565"/>
    <w:rsid w:val="00B52946"/>
    <w:rsid w:val="00B65C78"/>
    <w:rsid w:val="00B95F33"/>
    <w:rsid w:val="00BE477C"/>
    <w:rsid w:val="00CA608A"/>
    <w:rsid w:val="00CD3392"/>
    <w:rsid w:val="00CE3ACC"/>
    <w:rsid w:val="00D2545F"/>
    <w:rsid w:val="00D41F9A"/>
    <w:rsid w:val="00E928FE"/>
    <w:rsid w:val="00EB5E7D"/>
    <w:rsid w:val="00F25D3C"/>
    <w:rsid w:val="00FA5243"/>
    <w:rsid w:val="07A5A369"/>
    <w:rsid w:val="2518C911"/>
    <w:rsid w:val="5983C499"/>
    <w:rsid w:val="63117E82"/>
    <w:rsid w:val="74F6125E"/>
    <w:rsid w:val="7667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4E48D"/>
  <w14:defaultImageDpi w14:val="32767"/>
  <w15:chartTrackingRefBased/>
  <w15:docId w15:val="{D499094F-86D1-4C65-9908-AE78BE61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85FE3"/>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85FE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7AAE"/>
    <w:rPr>
      <w:color w:val="0000FF"/>
      <w:u w:val="single"/>
    </w:rPr>
  </w:style>
  <w:style w:type="character" w:customStyle="1" w:styleId="Titre2Car">
    <w:name w:val="Titre 2 Car"/>
    <w:basedOn w:val="Policepardfaut"/>
    <w:link w:val="Titre2"/>
    <w:uiPriority w:val="9"/>
    <w:rsid w:val="00585FE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85F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5FE3"/>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A66565"/>
    <w:pPr>
      <w:ind w:left="720"/>
      <w:contextualSpacing/>
    </w:pPr>
  </w:style>
  <w:style w:type="paragraph" w:styleId="Commentaire">
    <w:name w:val="annotation text"/>
    <w:basedOn w:val="Normal"/>
    <w:link w:val="CommentaireCar"/>
    <w:uiPriority w:val="99"/>
    <w:unhideWhenUsed/>
    <w:rsid w:val="00A66565"/>
    <w:rPr>
      <w:sz w:val="20"/>
      <w:szCs w:val="20"/>
    </w:rPr>
  </w:style>
  <w:style w:type="character" w:customStyle="1" w:styleId="CommentaireCar">
    <w:name w:val="Commentaire Car"/>
    <w:basedOn w:val="Policepardfaut"/>
    <w:link w:val="Commentaire"/>
    <w:uiPriority w:val="99"/>
    <w:rsid w:val="00A66565"/>
    <w:rPr>
      <w:sz w:val="20"/>
      <w:szCs w:val="20"/>
    </w:rPr>
  </w:style>
  <w:style w:type="paragraph" w:styleId="Objetducommentaire">
    <w:name w:val="annotation subject"/>
    <w:basedOn w:val="Commentaire"/>
    <w:next w:val="Commentaire"/>
    <w:link w:val="ObjetducommentaireCar"/>
    <w:uiPriority w:val="99"/>
    <w:semiHidden/>
    <w:unhideWhenUsed/>
    <w:rsid w:val="00A66565"/>
    <w:pPr>
      <w:spacing w:after="160"/>
    </w:pPr>
    <w:rPr>
      <w:b/>
      <w:bCs/>
    </w:rPr>
  </w:style>
  <w:style w:type="character" w:customStyle="1" w:styleId="ObjetducommentaireCar">
    <w:name w:val="Objet du commentaire Car"/>
    <w:basedOn w:val="CommentaireCar"/>
    <w:link w:val="Objetducommentaire"/>
    <w:uiPriority w:val="99"/>
    <w:semiHidden/>
    <w:rsid w:val="00A66565"/>
    <w:rPr>
      <w:b/>
      <w:bCs/>
      <w:sz w:val="20"/>
      <w:szCs w:val="20"/>
    </w:rPr>
  </w:style>
  <w:style w:type="paragraph" w:styleId="Bibliographie">
    <w:name w:val="Bibliography"/>
    <w:basedOn w:val="Normal"/>
    <w:next w:val="Normal"/>
    <w:uiPriority w:val="37"/>
    <w:unhideWhenUsed/>
    <w:rsid w:val="00781EF4"/>
    <w:pPr>
      <w:tabs>
        <w:tab w:val="left" w:pos="264"/>
      </w:tabs>
      <w:spacing w:line="480" w:lineRule="auto"/>
      <w:ind w:left="264" w:hanging="264"/>
    </w:pPr>
  </w:style>
  <w:style w:type="character" w:styleId="Marquedecommentaire">
    <w:name w:val="annotation reference"/>
    <w:basedOn w:val="Policepardfaut"/>
    <w:uiPriority w:val="99"/>
    <w:semiHidden/>
    <w:unhideWhenUsed/>
    <w:rsid w:val="0077683D"/>
    <w:rPr>
      <w:sz w:val="16"/>
      <w:szCs w:val="16"/>
    </w:rPr>
  </w:style>
  <w:style w:type="paragraph" w:styleId="Textedebulles">
    <w:name w:val="Balloon Text"/>
    <w:basedOn w:val="Normal"/>
    <w:link w:val="TextedebullesCar"/>
    <w:uiPriority w:val="99"/>
    <w:semiHidden/>
    <w:unhideWhenUsed/>
    <w:rsid w:val="007768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83D"/>
    <w:rPr>
      <w:rFonts w:ascii="Segoe UI" w:hAnsi="Segoe UI" w:cs="Segoe UI"/>
      <w:sz w:val="18"/>
      <w:szCs w:val="18"/>
    </w:rPr>
  </w:style>
  <w:style w:type="paragraph" w:styleId="Rvision">
    <w:name w:val="Revision"/>
    <w:hidden/>
    <w:uiPriority w:val="99"/>
    <w:semiHidden/>
    <w:rsid w:val="001753BE"/>
  </w:style>
  <w:style w:type="paragraph" w:customStyle="1" w:styleId="MDPI13authornames">
    <w:name w:val="MDPI_1.3_authornames"/>
    <w:next w:val="Normal"/>
    <w:qFormat/>
    <w:rsid w:val="00FA524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FA5243"/>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31text">
    <w:name w:val="MDPI_3.1_text"/>
    <w:qFormat/>
    <w:rsid w:val="00963316"/>
    <w:pPr>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62BackMatter">
    <w:name w:val="MDPI_6.2_BackMatter"/>
    <w:qFormat/>
    <w:rsid w:val="004323DC"/>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character" w:customStyle="1" w:styleId="UnresolvedMention">
    <w:name w:val="Unresolved Mention"/>
    <w:basedOn w:val="Policepardfaut"/>
    <w:uiPriority w:val="99"/>
    <w:semiHidden/>
    <w:unhideWhenUsed/>
    <w:rsid w:val="00195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1864">
      <w:bodyDiv w:val="1"/>
      <w:marLeft w:val="0"/>
      <w:marRight w:val="0"/>
      <w:marTop w:val="0"/>
      <w:marBottom w:val="0"/>
      <w:divBdr>
        <w:top w:val="none" w:sz="0" w:space="0" w:color="auto"/>
        <w:left w:val="none" w:sz="0" w:space="0" w:color="auto"/>
        <w:bottom w:val="none" w:sz="0" w:space="0" w:color="auto"/>
        <w:right w:val="none" w:sz="0" w:space="0" w:color="auto"/>
      </w:divBdr>
    </w:div>
    <w:div w:id="1846824830">
      <w:bodyDiv w:val="1"/>
      <w:marLeft w:val="0"/>
      <w:marRight w:val="0"/>
      <w:marTop w:val="0"/>
      <w:marBottom w:val="0"/>
      <w:divBdr>
        <w:top w:val="none" w:sz="0" w:space="0" w:color="auto"/>
        <w:left w:val="none" w:sz="0" w:space="0" w:color="auto"/>
        <w:bottom w:val="none" w:sz="0" w:space="0" w:color="auto"/>
        <w:right w:val="none" w:sz="0" w:space="0" w:color="auto"/>
      </w:divBdr>
      <w:divsChild>
        <w:div w:id="489367779">
          <w:marLeft w:val="0"/>
          <w:marRight w:val="0"/>
          <w:marTop w:val="0"/>
          <w:marBottom w:val="0"/>
          <w:divBdr>
            <w:top w:val="none" w:sz="0" w:space="0" w:color="auto"/>
            <w:left w:val="none" w:sz="0" w:space="0" w:color="auto"/>
            <w:bottom w:val="none" w:sz="0" w:space="0" w:color="auto"/>
            <w:right w:val="none" w:sz="0" w:space="0" w:color="auto"/>
          </w:divBdr>
        </w:div>
        <w:div w:id="505363939">
          <w:marLeft w:val="0"/>
          <w:marRight w:val="0"/>
          <w:marTop w:val="0"/>
          <w:marBottom w:val="0"/>
          <w:divBdr>
            <w:top w:val="none" w:sz="0" w:space="0" w:color="auto"/>
            <w:left w:val="none" w:sz="0" w:space="0" w:color="auto"/>
            <w:bottom w:val="none" w:sz="0" w:space="0" w:color="auto"/>
            <w:right w:val="none" w:sz="0" w:space="0" w:color="auto"/>
          </w:divBdr>
        </w:div>
        <w:div w:id="1181816762">
          <w:marLeft w:val="0"/>
          <w:marRight w:val="0"/>
          <w:marTop w:val="0"/>
          <w:marBottom w:val="0"/>
          <w:divBdr>
            <w:top w:val="none" w:sz="0" w:space="0" w:color="auto"/>
            <w:left w:val="none" w:sz="0" w:space="0" w:color="auto"/>
            <w:bottom w:val="none" w:sz="0" w:space="0" w:color="auto"/>
            <w:right w:val="none" w:sz="0" w:space="0" w:color="auto"/>
          </w:divBdr>
        </w:div>
        <w:div w:id="1319655504">
          <w:marLeft w:val="0"/>
          <w:marRight w:val="0"/>
          <w:marTop w:val="0"/>
          <w:marBottom w:val="0"/>
          <w:divBdr>
            <w:top w:val="none" w:sz="0" w:space="0" w:color="auto"/>
            <w:left w:val="none" w:sz="0" w:space="0" w:color="auto"/>
            <w:bottom w:val="none" w:sz="0" w:space="0" w:color="auto"/>
            <w:right w:val="none" w:sz="0" w:space="0" w:color="auto"/>
          </w:divBdr>
        </w:div>
        <w:div w:id="47476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indproject.eu/" TargetMode="External"/><Relationship Id="rId12" Type="http://schemas.microsoft.com/office/2011/relationships/people" Target="peop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aurelie.goyenvalle@uvsq.fr" TargetMode="External"/><Relationship Id="rId11" Type="http://schemas.openxmlformats.org/officeDocument/2006/relationships/fontTable" Target="fontTable.xml"/><Relationship Id="rId5" Type="http://schemas.openxmlformats.org/officeDocument/2006/relationships/image" Target="media/image1.png"/><Relationship Id="rId15" Type="http://schemas.microsoft.com/office/2016/09/relationships/commentsIds" Target="commentsIds.xml"/><Relationship Id="rId10" Type="http://schemas.openxmlformats.org/officeDocument/2006/relationships/hyperlink" Target="https://doi-org.proxy.insermbiblio.inist.fr/10.1016/j.omtn.2023.03.009"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5CE121AA8504F8E9FAD969D61F6BC" ma:contentTypeVersion="18" ma:contentTypeDescription="Crea un document nou" ma:contentTypeScope="" ma:versionID="72d91eb07a8cf73e15af6cf85c9448c4">
  <xsd:schema xmlns:xsd="http://www.w3.org/2001/XMLSchema" xmlns:xs="http://www.w3.org/2001/XMLSchema" xmlns:p="http://schemas.microsoft.com/office/2006/metadata/properties" xmlns:ns2="94cf03f8-15d0-44b7-b2be-17e7ae98f7b4" xmlns:ns3="249b57fd-f919-4618-860d-e3a21047aa8b" targetNamespace="http://schemas.microsoft.com/office/2006/metadata/properties" ma:root="true" ma:fieldsID="c8e614a23634d784ebb84df2841c6db8" ns2:_="" ns3:_="">
    <xsd:import namespace="94cf03f8-15d0-44b7-b2be-17e7ae98f7b4"/>
    <xsd:import namespace="249b57fd-f919-4618-860d-e3a21047a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f03f8-15d0-44b7-b2be-17e7ae98f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b57fd-f919-4618-860d-e3a21047aa8b"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10694c5-2f18-4c0e-bc84-0124a1179894}" ma:internalName="TaxCatchAll" ma:showField="CatchAllData" ma:web="249b57fd-f919-4618-860d-e3a21047a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cf03f8-15d0-44b7-b2be-17e7ae98f7b4">
      <Terms xmlns="http://schemas.microsoft.com/office/infopath/2007/PartnerControls"/>
    </lcf76f155ced4ddcb4097134ff3c332f>
    <TaxCatchAll xmlns="249b57fd-f919-4618-860d-e3a21047aa8b" xsi:nil="true"/>
  </documentManagement>
</p:properties>
</file>

<file path=customXml/itemProps1.xml><?xml version="1.0" encoding="utf-8"?>
<ds:datastoreItem xmlns:ds="http://schemas.openxmlformats.org/officeDocument/2006/customXml" ds:itemID="{4CF7ED38-3C7A-47E0-A09A-A65D3FC23BA8}"/>
</file>

<file path=customXml/itemProps2.xml><?xml version="1.0" encoding="utf-8"?>
<ds:datastoreItem xmlns:ds="http://schemas.openxmlformats.org/officeDocument/2006/customXml" ds:itemID="{7B34DEEF-F2F5-4B39-93AE-ED42154F8D28}"/>
</file>

<file path=customXml/itemProps3.xml><?xml version="1.0" encoding="utf-8"?>
<ds:datastoreItem xmlns:ds="http://schemas.openxmlformats.org/officeDocument/2006/customXml" ds:itemID="{E6D23D20-C3EF-46EB-9AD3-4DC9AA289701}"/>
</file>

<file path=docProps/app.xml><?xml version="1.0" encoding="utf-8"?>
<Properties xmlns="http://schemas.openxmlformats.org/officeDocument/2006/extended-properties" xmlns:vt="http://schemas.openxmlformats.org/officeDocument/2006/docPropsVTypes">
  <Template>Normal.dotm</Template>
  <TotalTime>733</TotalTime>
  <Pages>8</Pages>
  <Words>14404</Words>
  <Characters>79226</Characters>
  <Application>Microsoft Office Word</Application>
  <DocSecurity>0</DocSecurity>
  <Lines>660</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Schlegel</dc:creator>
  <cp:keywords/>
  <dc:description/>
  <cp:lastModifiedBy> </cp:lastModifiedBy>
  <cp:revision>23</cp:revision>
  <dcterms:created xsi:type="dcterms:W3CDTF">2023-04-20T11:37:00Z</dcterms:created>
  <dcterms:modified xsi:type="dcterms:W3CDTF">2023-06-13T08:07:00Z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id="1hUfqaya"/&gt;&lt;style id="http://www.zotero.org/styles/nature" hasBibliography="1" bibliographyStyleHasBeenSet="1"/&gt;&lt;prefs&gt;&lt;pref name="fieldType" value="Field"/&gt;&lt;/prefs&gt;&lt;/data&gt;</vt:lpwstr>
  </property>
  <property fmtid="{D5CDD505-2E9C-101B-9397-08002B2CF9AE}" pid="3" name="GrammarlyDocumentId">
    <vt:lpwstr>ce902fbd87cd3ed1ad967471fc5a9a8c911b9c82e25ce6961a2d47e819b186b6</vt:lpwstr>
  </property>
  <property fmtid="{D5CDD505-2E9C-101B-9397-08002B2CF9AE}" pid="4" name="ContentTypeId">
    <vt:lpwstr>0x010100AF15CE121AA8504F8E9FAD969D61F6BC</vt:lpwstr>
  </property>
</Properties>
</file>